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F9928" w14:textId="77777777" w:rsidR="00E43897" w:rsidRPr="00E43897" w:rsidRDefault="00E43897">
      <w:pPr>
        <w:rPr>
          <w:rFonts w:ascii="Calibri" w:hAnsi="Calibri"/>
        </w:rPr>
      </w:pPr>
    </w:p>
    <w:p w14:paraId="0A66E297" w14:textId="5CA385F8" w:rsidR="00E43897" w:rsidRDefault="00174C88" w:rsidP="00E43897">
      <w:pPr>
        <w:pStyle w:val="Title"/>
      </w:pPr>
      <w:r>
        <w:t>Institutional Surveying Policy</w:t>
      </w:r>
    </w:p>
    <w:p w14:paraId="4751062E" w14:textId="77777777" w:rsidR="00E43897" w:rsidRDefault="00E43897">
      <w:pPr>
        <w:rPr>
          <w:rFonts w:ascii="Calibri" w:hAnsi="Calibri"/>
        </w:rPr>
      </w:pPr>
    </w:p>
    <w:p w14:paraId="1A5FCDF7" w14:textId="56BB52C7" w:rsidR="00F66DE9" w:rsidRPr="00E43897" w:rsidRDefault="00DF3434" w:rsidP="00AF2A53">
      <w:pPr>
        <w:pStyle w:val="Heading1"/>
      </w:pPr>
      <w:r w:rsidRPr="00E43897">
        <w:t>C</w:t>
      </w:r>
      <w:r w:rsidR="00AF2A53">
        <w:t>ONTENTS</w:t>
      </w:r>
    </w:p>
    <w:p w14:paraId="2FFA07B4" w14:textId="77777777" w:rsidR="00016A1D" w:rsidRPr="00E43897" w:rsidRDefault="00016A1D">
      <w:pPr>
        <w:pStyle w:val="Body"/>
        <w:spacing w:after="0" w:line="240" w:lineRule="auto"/>
        <w:outlineLvl w:val="2"/>
        <w:rPr>
          <w:rFonts w:cs="Times New Roman"/>
          <w:b/>
          <w:bCs/>
          <w:color w:val="0000A0"/>
          <w:sz w:val="24"/>
          <w:szCs w:val="24"/>
          <w:u w:color="0000A0"/>
        </w:rPr>
      </w:pPr>
    </w:p>
    <w:p w14:paraId="358E619E" w14:textId="2D77E5EE" w:rsidR="00016A1D" w:rsidRPr="00E43897" w:rsidRDefault="00016A1D" w:rsidP="00016A1D">
      <w:pPr>
        <w:pStyle w:val="Body"/>
        <w:numPr>
          <w:ilvl w:val="0"/>
          <w:numId w:val="21"/>
        </w:numPr>
        <w:spacing w:after="0" w:line="240" w:lineRule="auto"/>
        <w:outlineLvl w:val="2"/>
        <w:rPr>
          <w:rFonts w:cs="Times New Roman"/>
          <w:b/>
          <w:bCs/>
          <w:color w:val="0000A0"/>
          <w:sz w:val="24"/>
          <w:szCs w:val="24"/>
          <w:u w:color="0000A0"/>
        </w:rPr>
      </w:pPr>
      <w:r w:rsidRPr="00E43897">
        <w:rPr>
          <w:rFonts w:cs="Times New Roman"/>
          <w:b/>
          <w:bCs/>
          <w:color w:val="0000A0"/>
          <w:sz w:val="24"/>
          <w:szCs w:val="24"/>
          <w:u w:color="0000A0"/>
        </w:rPr>
        <w:t>Purpose</w:t>
      </w:r>
    </w:p>
    <w:p w14:paraId="3243C703" w14:textId="79125192" w:rsidR="00016A1D" w:rsidRPr="00E43897" w:rsidRDefault="00E43897" w:rsidP="00016A1D">
      <w:pPr>
        <w:pStyle w:val="Body"/>
        <w:numPr>
          <w:ilvl w:val="0"/>
          <w:numId w:val="21"/>
        </w:numPr>
        <w:spacing w:after="0" w:line="240" w:lineRule="auto"/>
        <w:outlineLvl w:val="2"/>
        <w:rPr>
          <w:rFonts w:cs="Times New Roman"/>
          <w:b/>
          <w:bCs/>
          <w:color w:val="0000A0"/>
          <w:sz w:val="24"/>
          <w:szCs w:val="24"/>
          <w:u w:color="0000A0"/>
        </w:rPr>
      </w:pPr>
      <w:r>
        <w:rPr>
          <w:rFonts w:cs="Times New Roman"/>
          <w:b/>
          <w:bCs/>
          <w:color w:val="0000A0"/>
          <w:sz w:val="24"/>
          <w:szCs w:val="24"/>
          <w:u w:color="0000A0"/>
        </w:rPr>
        <w:t>Administrative</w:t>
      </w:r>
      <w:r w:rsidR="00016A1D" w:rsidRPr="00E43897">
        <w:rPr>
          <w:rFonts w:cs="Times New Roman"/>
          <w:b/>
          <w:bCs/>
          <w:color w:val="0000A0"/>
          <w:sz w:val="24"/>
          <w:szCs w:val="24"/>
          <w:u w:color="0000A0"/>
        </w:rPr>
        <w:t xml:space="preserve"> Goal</w:t>
      </w:r>
    </w:p>
    <w:p w14:paraId="6D36850B" w14:textId="413F1FC0" w:rsidR="00016A1D" w:rsidRPr="00E43897" w:rsidRDefault="00016A1D" w:rsidP="00016A1D">
      <w:pPr>
        <w:pStyle w:val="Body"/>
        <w:numPr>
          <w:ilvl w:val="0"/>
          <w:numId w:val="21"/>
        </w:numPr>
        <w:spacing w:after="0" w:line="240" w:lineRule="auto"/>
        <w:outlineLvl w:val="2"/>
        <w:rPr>
          <w:rFonts w:cs="Times New Roman"/>
          <w:b/>
          <w:bCs/>
          <w:color w:val="0000A0"/>
          <w:sz w:val="24"/>
          <w:szCs w:val="24"/>
          <w:u w:color="0000A0"/>
        </w:rPr>
      </w:pPr>
      <w:r w:rsidRPr="00E43897">
        <w:rPr>
          <w:rFonts w:cs="Times New Roman"/>
          <w:b/>
          <w:bCs/>
          <w:color w:val="0000A0"/>
          <w:sz w:val="24"/>
          <w:szCs w:val="24"/>
          <w:u w:color="0000A0"/>
        </w:rPr>
        <w:t>Scope</w:t>
      </w:r>
    </w:p>
    <w:p w14:paraId="5F9AF7B9" w14:textId="2DB1D21B" w:rsidR="00016A1D" w:rsidRPr="00E43897" w:rsidRDefault="00016A1D" w:rsidP="00016A1D">
      <w:pPr>
        <w:pStyle w:val="Body"/>
        <w:numPr>
          <w:ilvl w:val="0"/>
          <w:numId w:val="21"/>
        </w:numPr>
        <w:spacing w:after="0" w:line="240" w:lineRule="auto"/>
        <w:outlineLvl w:val="2"/>
        <w:rPr>
          <w:rFonts w:cs="Times New Roman"/>
          <w:b/>
          <w:bCs/>
          <w:color w:val="0000A0"/>
          <w:sz w:val="24"/>
          <w:szCs w:val="24"/>
          <w:u w:color="0000A0"/>
        </w:rPr>
      </w:pPr>
      <w:r w:rsidRPr="00E43897">
        <w:rPr>
          <w:rFonts w:cs="Times New Roman"/>
          <w:b/>
          <w:bCs/>
          <w:color w:val="0000A0"/>
          <w:sz w:val="24"/>
          <w:szCs w:val="24"/>
          <w:u w:color="0000A0"/>
        </w:rPr>
        <w:t>Background</w:t>
      </w:r>
    </w:p>
    <w:p w14:paraId="571E5071" w14:textId="19D628FB" w:rsidR="00016A1D" w:rsidRPr="00E43897" w:rsidRDefault="00016A1D" w:rsidP="00016A1D">
      <w:pPr>
        <w:pStyle w:val="Body"/>
        <w:numPr>
          <w:ilvl w:val="0"/>
          <w:numId w:val="21"/>
        </w:numPr>
        <w:spacing w:after="0" w:line="240" w:lineRule="auto"/>
        <w:outlineLvl w:val="2"/>
        <w:rPr>
          <w:rFonts w:cs="Times New Roman"/>
          <w:b/>
          <w:bCs/>
          <w:color w:val="0000A0"/>
          <w:sz w:val="24"/>
          <w:szCs w:val="24"/>
          <w:u w:color="0000A0"/>
        </w:rPr>
      </w:pPr>
      <w:r w:rsidRPr="00E43897">
        <w:rPr>
          <w:rFonts w:cs="Times New Roman"/>
          <w:b/>
          <w:bCs/>
          <w:color w:val="0000A0"/>
          <w:sz w:val="24"/>
          <w:szCs w:val="24"/>
          <w:u w:color="0000A0"/>
        </w:rPr>
        <w:t>Definitions</w:t>
      </w:r>
    </w:p>
    <w:p w14:paraId="1BCD878B" w14:textId="77777777" w:rsidR="000B50FE" w:rsidRPr="000B50FE" w:rsidRDefault="000B50FE" w:rsidP="007E42AE">
      <w:pPr>
        <w:pStyle w:val="Body"/>
        <w:numPr>
          <w:ilvl w:val="0"/>
          <w:numId w:val="21"/>
        </w:numPr>
        <w:spacing w:after="0" w:line="240" w:lineRule="auto"/>
        <w:outlineLvl w:val="2"/>
        <w:rPr>
          <w:rStyle w:val="None"/>
          <w:rFonts w:cs="Times New Roman"/>
          <w:sz w:val="24"/>
          <w:szCs w:val="24"/>
        </w:rPr>
      </w:pPr>
      <w:r>
        <w:rPr>
          <w:rStyle w:val="None"/>
          <w:rFonts w:cs="Times New Roman"/>
          <w:b/>
          <w:bCs/>
          <w:color w:val="0000A0"/>
          <w:sz w:val="24"/>
          <w:szCs w:val="24"/>
          <w:u w:color="0000A0"/>
          <w:lang w:val="pt-PT"/>
        </w:rPr>
        <w:t>Policy</w:t>
      </w:r>
    </w:p>
    <w:p w14:paraId="5C503CCB" w14:textId="36D5A687" w:rsidR="007E42AE" w:rsidRPr="00E43897" w:rsidRDefault="00B34C79" w:rsidP="007E42AE">
      <w:pPr>
        <w:pStyle w:val="Body"/>
        <w:numPr>
          <w:ilvl w:val="0"/>
          <w:numId w:val="21"/>
        </w:numPr>
        <w:spacing w:after="0" w:line="240" w:lineRule="auto"/>
        <w:outlineLvl w:val="2"/>
        <w:rPr>
          <w:rStyle w:val="None"/>
          <w:rFonts w:cs="Times New Roman"/>
          <w:sz w:val="24"/>
          <w:szCs w:val="24"/>
        </w:rPr>
      </w:pPr>
      <w:r>
        <w:rPr>
          <w:rStyle w:val="None"/>
          <w:rFonts w:cs="Times New Roman"/>
          <w:b/>
          <w:bCs/>
          <w:color w:val="0000A0"/>
          <w:sz w:val="24"/>
          <w:szCs w:val="24"/>
          <w:u w:color="0000A0"/>
          <w:lang w:val="pt-PT"/>
        </w:rPr>
        <w:t>Process</w:t>
      </w:r>
      <w:r w:rsidR="007E42AE">
        <w:rPr>
          <w:rStyle w:val="None"/>
          <w:rFonts w:cs="Times New Roman"/>
          <w:b/>
          <w:bCs/>
          <w:color w:val="0000A0"/>
          <w:sz w:val="24"/>
          <w:szCs w:val="24"/>
          <w:u w:color="0000A0"/>
          <w:lang w:val="pt-PT"/>
        </w:rPr>
        <w:t xml:space="preserve">, </w:t>
      </w:r>
      <w:r>
        <w:rPr>
          <w:rStyle w:val="None"/>
          <w:rFonts w:cs="Times New Roman"/>
          <w:b/>
          <w:bCs/>
          <w:color w:val="0000A0"/>
          <w:sz w:val="24"/>
          <w:szCs w:val="24"/>
          <w:u w:color="0000A0"/>
          <w:lang w:val="pt-PT"/>
        </w:rPr>
        <w:t>Resources and</w:t>
      </w:r>
      <w:r w:rsidR="007E42AE">
        <w:rPr>
          <w:rStyle w:val="None"/>
          <w:rFonts w:cs="Times New Roman"/>
          <w:b/>
          <w:bCs/>
          <w:color w:val="0000A0"/>
          <w:sz w:val="24"/>
          <w:szCs w:val="24"/>
          <w:u w:color="0000A0"/>
          <w:lang w:val="pt-PT"/>
        </w:rPr>
        <w:t xml:space="preserve"> </w:t>
      </w:r>
      <w:r>
        <w:rPr>
          <w:rStyle w:val="None"/>
          <w:rFonts w:cs="Times New Roman"/>
          <w:b/>
          <w:bCs/>
          <w:color w:val="0000A0"/>
          <w:sz w:val="24"/>
          <w:szCs w:val="24"/>
          <w:u w:color="0000A0"/>
          <w:lang w:val="pt-PT"/>
        </w:rPr>
        <w:t>Protocols</w:t>
      </w:r>
    </w:p>
    <w:p w14:paraId="6AAB631E" w14:textId="70EAB702" w:rsidR="00016A1D" w:rsidRPr="00E43897" w:rsidRDefault="00016A1D" w:rsidP="00016A1D">
      <w:pPr>
        <w:pStyle w:val="Body"/>
        <w:numPr>
          <w:ilvl w:val="0"/>
          <w:numId w:val="21"/>
        </w:numPr>
        <w:spacing w:after="0" w:line="240" w:lineRule="auto"/>
        <w:outlineLvl w:val="2"/>
        <w:rPr>
          <w:rFonts w:cs="Times New Roman"/>
          <w:b/>
          <w:bCs/>
          <w:color w:val="0000A0"/>
          <w:sz w:val="24"/>
          <w:szCs w:val="24"/>
          <w:u w:color="0000A0"/>
        </w:rPr>
      </w:pPr>
      <w:r w:rsidRPr="00E43897">
        <w:rPr>
          <w:rFonts w:cs="Times New Roman"/>
          <w:b/>
          <w:bCs/>
          <w:color w:val="0000A0"/>
          <w:sz w:val="24"/>
          <w:szCs w:val="24"/>
          <w:u w:color="0000A0"/>
        </w:rPr>
        <w:t>Further Information</w:t>
      </w:r>
    </w:p>
    <w:p w14:paraId="1A9CC472" w14:textId="24BBDBDE" w:rsidR="00016A1D" w:rsidRPr="00E43897" w:rsidRDefault="007E42AE" w:rsidP="00016A1D">
      <w:pPr>
        <w:pStyle w:val="Body"/>
        <w:numPr>
          <w:ilvl w:val="0"/>
          <w:numId w:val="21"/>
        </w:numPr>
        <w:spacing w:after="0" w:line="240" w:lineRule="auto"/>
        <w:outlineLvl w:val="2"/>
        <w:rPr>
          <w:rFonts w:cs="Times New Roman"/>
          <w:b/>
          <w:bCs/>
          <w:color w:val="0000A0"/>
          <w:sz w:val="24"/>
          <w:szCs w:val="24"/>
          <w:u w:color="0000A0"/>
        </w:rPr>
      </w:pPr>
      <w:r>
        <w:rPr>
          <w:rFonts w:cs="Times New Roman"/>
          <w:b/>
          <w:bCs/>
          <w:color w:val="0000A0"/>
          <w:sz w:val="24"/>
          <w:szCs w:val="24"/>
          <w:u w:color="0000A0"/>
        </w:rPr>
        <w:t>Cross References</w:t>
      </w:r>
    </w:p>
    <w:p w14:paraId="247468AB" w14:textId="77777777" w:rsidR="00F66DE9" w:rsidRPr="00E43897" w:rsidRDefault="00DF3434">
      <w:pPr>
        <w:pStyle w:val="Body"/>
        <w:spacing w:after="0" w:line="240" w:lineRule="auto"/>
        <w:rPr>
          <w:rStyle w:val="None"/>
          <w:rFonts w:eastAsia="Times New Roman" w:cs="Times New Roman"/>
          <w:b/>
          <w:bCs/>
          <w:sz w:val="24"/>
          <w:szCs w:val="24"/>
        </w:rPr>
      </w:pPr>
      <w:r w:rsidRPr="00E43897">
        <w:rPr>
          <w:rStyle w:val="None"/>
          <w:rFonts w:eastAsia="Times New Roman" w:cs="Times New Roman"/>
          <w:b/>
          <w:bCs/>
          <w:noProof/>
          <w:sz w:val="24"/>
          <w:szCs w:val="24"/>
        </w:rPr>
        <mc:AlternateContent>
          <mc:Choice Requires="wps">
            <w:drawing>
              <wp:inline distT="0" distB="0" distL="0" distR="0" wp14:anchorId="711D5B6F" wp14:editId="0E4998A7">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000A0"/>
                        </a:solidFill>
                        <a:ln w="12700" cap="flat">
                          <a:noFill/>
                          <a:miter lim="400000"/>
                        </a:ln>
                        <a:effectLst/>
                      </wps:spPr>
                      <wps:bodyPr/>
                    </wps:wsp>
                  </a:graphicData>
                </a:graphic>
              </wp:inline>
            </w:drawing>
          </mc:Choice>
          <mc:Fallback xmlns:a="http://schemas.openxmlformats.org/drawingml/2006/main">
            <w:pict>
              <v:rect id="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spid="_x0000_s1026" fillcolor="#0000a0" stroked="f" strokeweight="1pt" w14:anchorId="6C6CD8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">
                <v:stroke miterlimit="4"/>
                <w10:anchorlock/>
              </v:rect>
            </w:pict>
          </mc:Fallback>
        </mc:AlternateContent>
      </w:r>
    </w:p>
    <w:p w14:paraId="1B491C4B" w14:textId="77777777" w:rsidR="00016A1D" w:rsidRPr="00E43897" w:rsidRDefault="00016A1D">
      <w:pPr>
        <w:pStyle w:val="Body"/>
        <w:spacing w:after="0" w:line="240" w:lineRule="auto"/>
        <w:rPr>
          <w:rStyle w:val="None"/>
          <w:rFonts w:eastAsia="Times New Roman" w:cs="Times New Roman"/>
          <w:b/>
          <w:bCs/>
          <w:sz w:val="24"/>
          <w:szCs w:val="24"/>
        </w:rPr>
      </w:pPr>
    </w:p>
    <w:p w14:paraId="22DA0681" w14:textId="36C90E7F" w:rsidR="00573EF1" w:rsidRPr="00E43897" w:rsidRDefault="00DF3434" w:rsidP="00943A47">
      <w:pPr>
        <w:pStyle w:val="Heading1"/>
        <w:rPr>
          <w:rStyle w:val="None"/>
          <w:b w:val="0"/>
          <w:bCs w:val="0"/>
        </w:rPr>
      </w:pPr>
      <w:r w:rsidRPr="00943A47">
        <w:rPr>
          <w:rStyle w:val="None"/>
        </w:rPr>
        <w:t>PURPOSE</w:t>
      </w:r>
      <w:r w:rsidRPr="00E43897">
        <w:rPr>
          <w:rStyle w:val="None"/>
        </w:rPr>
        <w:t xml:space="preserve"> </w:t>
      </w:r>
      <w:r w:rsidR="00821F85" w:rsidRPr="00E43897">
        <w:rPr>
          <w:rStyle w:val="None"/>
        </w:rPr>
        <w:t xml:space="preserve"> </w:t>
      </w:r>
    </w:p>
    <w:p w14:paraId="08D9479F" w14:textId="77777777" w:rsidR="00573EF1" w:rsidRPr="00E43897" w:rsidRDefault="00573EF1">
      <w:pPr>
        <w:pStyle w:val="Body"/>
        <w:spacing w:after="0" w:line="240" w:lineRule="auto"/>
        <w:rPr>
          <w:rStyle w:val="None"/>
          <w:rFonts w:cs="Times New Roman"/>
          <w:b/>
          <w:bCs/>
          <w:color w:val="0000A0"/>
          <w:sz w:val="24"/>
          <w:szCs w:val="24"/>
          <w:u w:color="0000A0"/>
        </w:rPr>
      </w:pPr>
    </w:p>
    <w:p w14:paraId="4F65F6AD" w14:textId="6016B4C7" w:rsidR="00573EF1" w:rsidRPr="00095E90" w:rsidRDefault="58111A61" w:rsidP="58111A61">
      <w:pPr>
        <w:pStyle w:val="Body"/>
        <w:spacing w:after="0" w:line="240" w:lineRule="auto"/>
        <w:rPr>
          <w:rStyle w:val="None"/>
          <w:rFonts w:eastAsia="Times New Roman"/>
          <w:sz w:val="20"/>
          <w:szCs w:val="20"/>
        </w:rPr>
      </w:pPr>
      <w:r w:rsidRPr="58111A61">
        <w:rPr>
          <w:rStyle w:val="None"/>
          <w:rFonts w:cs="Times New Roman"/>
          <w:color w:val="auto"/>
        </w:rPr>
        <w:t>This policy defines the conditions under which a survey intended for current Penn State students, faculty, and/or staff must undergo a review and approval process designed to i) improve the quality of information gathered through surveys, ii) to monitor, provide guidance, and adjust, as necessary, the survey activity on our University community, and iii) ensure that the survey, its findings, and the data collected are appropriately available throughout the University.</w:t>
      </w:r>
    </w:p>
    <w:p w14:paraId="393E10F6" w14:textId="77777777" w:rsidR="00F66DE9" w:rsidRPr="00E43897" w:rsidRDefault="00F66DE9">
      <w:pPr>
        <w:pStyle w:val="Body"/>
        <w:spacing w:after="0" w:line="240" w:lineRule="auto"/>
        <w:rPr>
          <w:rStyle w:val="None"/>
          <w:rFonts w:eastAsia="Times New Roman" w:cs="Times New Roman"/>
          <w:b/>
          <w:bCs/>
          <w:color w:val="0000A0"/>
          <w:sz w:val="24"/>
          <w:szCs w:val="24"/>
          <w:u w:color="0000A0"/>
        </w:rPr>
      </w:pPr>
    </w:p>
    <w:p w14:paraId="129D4833" w14:textId="36A330C4" w:rsidR="00573EF1" w:rsidRPr="001A565B" w:rsidRDefault="00E43897" w:rsidP="00943A47">
      <w:pPr>
        <w:pStyle w:val="Heading1"/>
        <w:rPr>
          <w:rStyle w:val="None"/>
          <w:b w:val="0"/>
          <w:bCs w:val="0"/>
        </w:rPr>
      </w:pPr>
      <w:r w:rsidRPr="001A565B">
        <w:rPr>
          <w:rStyle w:val="None"/>
        </w:rPr>
        <w:t>ADMINISTRATIVE</w:t>
      </w:r>
      <w:r w:rsidR="00DF3434" w:rsidRPr="001A565B">
        <w:rPr>
          <w:rStyle w:val="None"/>
        </w:rPr>
        <w:t xml:space="preserve"> GOAL</w:t>
      </w:r>
      <w:r w:rsidR="00821F85" w:rsidRPr="001A565B">
        <w:rPr>
          <w:rStyle w:val="None"/>
        </w:rPr>
        <w:t xml:space="preserve"> </w:t>
      </w:r>
    </w:p>
    <w:p w14:paraId="6CB8BA6B" w14:textId="77777777" w:rsidR="00573EF1" w:rsidRDefault="00573EF1" w:rsidP="00573EF1">
      <w:pPr>
        <w:pStyle w:val="Body"/>
        <w:spacing w:after="0" w:line="240" w:lineRule="auto"/>
        <w:rPr>
          <w:rStyle w:val="None"/>
          <w:rFonts w:cs="Times New Roman"/>
          <w:b/>
          <w:bCs/>
          <w:color w:val="0000A0"/>
          <w:u w:color="0000A0"/>
        </w:rPr>
      </w:pPr>
    </w:p>
    <w:p w14:paraId="4A046392" w14:textId="3151FF00" w:rsidR="00573EF1" w:rsidRDefault="00A37A2C" w:rsidP="00573EF1">
      <w:pPr>
        <w:pStyle w:val="Body"/>
        <w:spacing w:after="0" w:line="240" w:lineRule="auto"/>
        <w:rPr>
          <w:rStyle w:val="None"/>
          <w:rFonts w:cs="Times New Roman"/>
          <w:bCs/>
          <w:color w:val="auto"/>
          <w:u w:color="0000A0"/>
        </w:rPr>
      </w:pPr>
      <w:r>
        <w:rPr>
          <w:rStyle w:val="None"/>
          <w:rFonts w:cs="Times New Roman"/>
          <w:bCs/>
          <w:color w:val="auto"/>
          <w:u w:color="0000A0"/>
        </w:rPr>
        <w:t>The goal of this policy is to provide information and guidance to members of the University community seeking to survey students, faculty and</w:t>
      </w:r>
      <w:r w:rsidR="00B72A9F">
        <w:rPr>
          <w:rStyle w:val="None"/>
          <w:rFonts w:cs="Times New Roman"/>
          <w:bCs/>
          <w:color w:val="auto"/>
          <w:u w:color="0000A0"/>
        </w:rPr>
        <w:t>/or</w:t>
      </w:r>
      <w:r>
        <w:rPr>
          <w:rStyle w:val="None"/>
          <w:rFonts w:cs="Times New Roman"/>
          <w:bCs/>
          <w:color w:val="auto"/>
          <w:u w:color="0000A0"/>
        </w:rPr>
        <w:t xml:space="preserve"> staff in order to ensu</w:t>
      </w:r>
      <w:r w:rsidR="00963060">
        <w:rPr>
          <w:rStyle w:val="None"/>
          <w:rFonts w:cs="Times New Roman"/>
          <w:bCs/>
          <w:color w:val="auto"/>
          <w:u w:color="0000A0"/>
        </w:rPr>
        <w:t xml:space="preserve">re </w:t>
      </w:r>
      <w:r w:rsidR="000C2558">
        <w:rPr>
          <w:rStyle w:val="None"/>
          <w:rFonts w:cs="Times New Roman"/>
          <w:bCs/>
          <w:color w:val="auto"/>
          <w:u w:color="0000A0"/>
        </w:rPr>
        <w:t xml:space="preserve">appropriate timing within the framework of the academic calendar, avoidance of duplication or simultaneous efforts, and to provide resources and guidance regarding survey administration efforts.  </w:t>
      </w:r>
    </w:p>
    <w:p w14:paraId="5AF93535" w14:textId="77777777" w:rsidR="00A37A2C" w:rsidRPr="00A37A2C" w:rsidRDefault="00A37A2C" w:rsidP="00573EF1">
      <w:pPr>
        <w:pStyle w:val="Body"/>
        <w:spacing w:after="0" w:line="240" w:lineRule="auto"/>
        <w:rPr>
          <w:rStyle w:val="None"/>
          <w:rFonts w:cs="Times New Roman"/>
          <w:bCs/>
          <w:color w:val="auto"/>
          <w:u w:color="0000A0"/>
        </w:rPr>
      </w:pPr>
    </w:p>
    <w:p w14:paraId="05D483A0" w14:textId="136DE561" w:rsidR="00573EF1" w:rsidRPr="00E43897" w:rsidRDefault="00DF3434" w:rsidP="00943A47">
      <w:pPr>
        <w:pStyle w:val="Heading1"/>
        <w:rPr>
          <w:rStyle w:val="None"/>
          <w:b w:val="0"/>
          <w:bCs w:val="0"/>
        </w:rPr>
      </w:pPr>
      <w:r w:rsidRPr="00E43897">
        <w:rPr>
          <w:rStyle w:val="None"/>
          <w:lang w:val="de-DE"/>
        </w:rPr>
        <w:t>SCOPE</w:t>
      </w:r>
      <w:r w:rsidRPr="00E43897">
        <w:rPr>
          <w:rStyle w:val="None"/>
        </w:rPr>
        <w:t>  </w:t>
      </w:r>
    </w:p>
    <w:p w14:paraId="1E5A9DC2" w14:textId="77777777" w:rsidR="00573EF1" w:rsidRPr="00E43897" w:rsidRDefault="00573EF1" w:rsidP="00573EF1">
      <w:pPr>
        <w:pStyle w:val="Body"/>
        <w:spacing w:after="0" w:line="240" w:lineRule="auto"/>
        <w:rPr>
          <w:rStyle w:val="None"/>
          <w:rFonts w:cs="Times New Roman"/>
          <w:b/>
          <w:bCs/>
          <w:color w:val="0000A0"/>
          <w:sz w:val="24"/>
          <w:szCs w:val="24"/>
          <w:u w:color="0000A0"/>
        </w:rPr>
      </w:pPr>
    </w:p>
    <w:p w14:paraId="1E317F6A" w14:textId="743AEA95" w:rsidR="00F66DE9" w:rsidRPr="00963060" w:rsidRDefault="00963060" w:rsidP="00963060">
      <w:pPr>
        <w:pStyle w:val="Body"/>
        <w:spacing w:after="0" w:line="240" w:lineRule="auto"/>
        <w:rPr>
          <w:rStyle w:val="None"/>
          <w:rFonts w:cs="Times New Roman"/>
          <w:bCs/>
          <w:i/>
          <w:color w:val="auto"/>
          <w:u w:color="0000A0"/>
        </w:rPr>
      </w:pPr>
      <w:r>
        <w:rPr>
          <w:rStyle w:val="None"/>
          <w:rFonts w:cs="Times New Roman"/>
          <w:bCs/>
          <w:color w:val="auto"/>
          <w:u w:color="0000A0"/>
        </w:rPr>
        <w:t xml:space="preserve">This policy is framed to provide guidance and direction on </w:t>
      </w:r>
      <w:r w:rsidR="00095E90">
        <w:rPr>
          <w:rStyle w:val="None"/>
          <w:rFonts w:cs="Times New Roman"/>
          <w:bCs/>
          <w:color w:val="auto"/>
          <w:u w:color="0000A0"/>
        </w:rPr>
        <w:t>s</w:t>
      </w:r>
      <w:r>
        <w:rPr>
          <w:rStyle w:val="None"/>
          <w:rFonts w:cs="Times New Roman"/>
          <w:bCs/>
          <w:color w:val="auto"/>
          <w:u w:color="0000A0"/>
        </w:rPr>
        <w:t xml:space="preserve">urveys used to solicit information from students, faculty or staff.  </w:t>
      </w:r>
      <w:r w:rsidR="00095E90">
        <w:rPr>
          <w:rStyle w:val="None"/>
          <w:rFonts w:cs="Times New Roman"/>
          <w:bCs/>
          <w:color w:val="auto"/>
          <w:u w:color="0000A0"/>
        </w:rPr>
        <w:t>The policy</w:t>
      </w:r>
      <w:r w:rsidR="00AE3D0A">
        <w:rPr>
          <w:rStyle w:val="None"/>
          <w:rFonts w:cs="Times New Roman"/>
          <w:bCs/>
          <w:color w:val="auto"/>
          <w:u w:color="0000A0"/>
        </w:rPr>
        <w:t xml:space="preserve"> applies to surveys from Penn State community members, including faculty, staff, and students; and from external bodies</w:t>
      </w:r>
      <w:r w:rsidR="008D5E93">
        <w:rPr>
          <w:rStyle w:val="None"/>
          <w:rFonts w:cs="Times New Roman"/>
          <w:bCs/>
          <w:color w:val="auto"/>
          <w:u w:color="0000A0"/>
        </w:rPr>
        <w:t>. This policy is subordinate to</w:t>
      </w:r>
      <w:r>
        <w:rPr>
          <w:rStyle w:val="None"/>
          <w:rFonts w:cs="Times New Roman"/>
          <w:bCs/>
          <w:color w:val="auto"/>
          <w:u w:color="0000A0"/>
        </w:rPr>
        <w:t xml:space="preserve"> existing policies that govern academic research surveying that is done within the scope of academic research protocols or </w:t>
      </w:r>
      <w:proofErr w:type="gramStart"/>
      <w:r>
        <w:rPr>
          <w:rStyle w:val="None"/>
          <w:rFonts w:cs="Times New Roman"/>
          <w:bCs/>
          <w:color w:val="auto"/>
          <w:u w:color="0000A0"/>
        </w:rPr>
        <w:t>protections</w:t>
      </w:r>
      <w:proofErr w:type="gramEnd"/>
      <w:r>
        <w:rPr>
          <w:rStyle w:val="None"/>
          <w:rFonts w:cs="Times New Roman"/>
          <w:bCs/>
          <w:color w:val="auto"/>
          <w:u w:color="0000A0"/>
        </w:rPr>
        <w:t>, such as those policies and guidelines as defined and prescribed under the jurisdiction of the Vice President for Res</w:t>
      </w:r>
      <w:r w:rsidR="000C2558">
        <w:rPr>
          <w:rStyle w:val="None"/>
          <w:rFonts w:cs="Times New Roman"/>
          <w:bCs/>
          <w:color w:val="auto"/>
          <w:u w:color="0000A0"/>
        </w:rPr>
        <w:t>e</w:t>
      </w:r>
      <w:r>
        <w:rPr>
          <w:rStyle w:val="None"/>
          <w:rFonts w:cs="Times New Roman"/>
          <w:bCs/>
          <w:color w:val="auto"/>
          <w:u w:color="0000A0"/>
        </w:rPr>
        <w:t>arch</w:t>
      </w:r>
      <w:r w:rsidR="000C2558">
        <w:rPr>
          <w:rStyle w:val="None"/>
          <w:rFonts w:cs="Times New Roman"/>
          <w:bCs/>
          <w:color w:val="auto"/>
          <w:u w:color="0000A0"/>
        </w:rPr>
        <w:t>; for example, this does not modify or change the oversight required by the parameters of the University’s Institutional Review Board</w:t>
      </w:r>
      <w:r>
        <w:rPr>
          <w:rStyle w:val="None"/>
          <w:rFonts w:cs="Times New Roman"/>
          <w:bCs/>
          <w:color w:val="auto"/>
          <w:u w:color="0000A0"/>
        </w:rPr>
        <w:t>.  In addition, the scope of this policy recognizes that there may be contracted third-party survey administrators used by the University</w:t>
      </w:r>
      <w:r w:rsidR="000C2558">
        <w:rPr>
          <w:rStyle w:val="None"/>
          <w:rFonts w:cs="Times New Roman"/>
          <w:bCs/>
          <w:color w:val="auto"/>
          <w:u w:color="0000A0"/>
        </w:rPr>
        <w:t xml:space="preserve">, </w:t>
      </w:r>
      <w:r w:rsidR="00095E90">
        <w:rPr>
          <w:rStyle w:val="None"/>
          <w:rFonts w:cs="Times New Roman"/>
          <w:bCs/>
          <w:color w:val="auto"/>
          <w:u w:color="0000A0"/>
        </w:rPr>
        <w:t xml:space="preserve">to which this policy applies, </w:t>
      </w:r>
      <w:r w:rsidR="000C2558">
        <w:rPr>
          <w:rStyle w:val="None"/>
          <w:rFonts w:cs="Times New Roman"/>
          <w:bCs/>
          <w:color w:val="auto"/>
          <w:u w:color="0000A0"/>
        </w:rPr>
        <w:t>with appropriate applications and parameters defined in accordance with any existing policies</w:t>
      </w:r>
      <w:r>
        <w:rPr>
          <w:rStyle w:val="None"/>
          <w:rFonts w:cs="Times New Roman"/>
          <w:bCs/>
          <w:color w:val="auto"/>
          <w:u w:color="0000A0"/>
        </w:rPr>
        <w:t xml:space="preserve">.  </w:t>
      </w:r>
    </w:p>
    <w:p w14:paraId="616C6FF9" w14:textId="77777777" w:rsidR="00703791" w:rsidRPr="00E43897" w:rsidRDefault="00703791">
      <w:pPr>
        <w:pStyle w:val="Body"/>
        <w:spacing w:after="0" w:line="240" w:lineRule="auto"/>
        <w:rPr>
          <w:rStyle w:val="None"/>
          <w:rFonts w:cs="Times New Roman"/>
          <w:b/>
          <w:bCs/>
          <w:color w:val="0000A0"/>
          <w:sz w:val="24"/>
          <w:szCs w:val="24"/>
          <w:u w:color="0000A0"/>
        </w:rPr>
      </w:pPr>
    </w:p>
    <w:p w14:paraId="1562DF4A" w14:textId="294F8629" w:rsidR="00573EF1" w:rsidRPr="00E43897" w:rsidRDefault="00DF3434" w:rsidP="00943A47">
      <w:pPr>
        <w:pStyle w:val="Heading1"/>
        <w:rPr>
          <w:rStyle w:val="None"/>
          <w:b w:val="0"/>
          <w:bCs w:val="0"/>
        </w:rPr>
      </w:pPr>
      <w:r w:rsidRPr="00E43897">
        <w:rPr>
          <w:rStyle w:val="None"/>
        </w:rPr>
        <w:t xml:space="preserve">BACKGROUND </w:t>
      </w:r>
    </w:p>
    <w:p w14:paraId="27355A9E" w14:textId="77777777" w:rsidR="00573EF1" w:rsidRPr="00E43897" w:rsidRDefault="00573EF1">
      <w:pPr>
        <w:pStyle w:val="Body"/>
        <w:spacing w:after="0" w:line="240" w:lineRule="auto"/>
        <w:rPr>
          <w:rStyle w:val="None"/>
          <w:rFonts w:cs="Times New Roman"/>
          <w:b/>
          <w:bCs/>
          <w:color w:val="0000A0"/>
          <w:sz w:val="24"/>
          <w:szCs w:val="24"/>
          <w:u w:color="0000A0"/>
        </w:rPr>
      </w:pPr>
    </w:p>
    <w:p w14:paraId="6BF1D8AD" w14:textId="06936C0D" w:rsidR="00F66DE9" w:rsidRPr="00963060" w:rsidRDefault="000C2558">
      <w:pPr>
        <w:pStyle w:val="Body"/>
        <w:spacing w:after="0" w:line="240" w:lineRule="auto"/>
        <w:rPr>
          <w:rStyle w:val="None"/>
          <w:rFonts w:eastAsia="Times New Roman" w:cs="Times New Roman"/>
          <w:color w:val="auto"/>
        </w:rPr>
      </w:pPr>
      <w:r>
        <w:rPr>
          <w:rStyle w:val="None"/>
          <w:rFonts w:cs="Times New Roman"/>
          <w:bCs/>
          <w:color w:val="auto"/>
          <w:u w:color="0000A0"/>
        </w:rPr>
        <w:t xml:space="preserve">Surveys are often convenient and cost-effective tools used to identify opportunities for improvement, inform decision-making, and to assess programmatic and service offerings.  That convenience and desire to gather information may have the unintended consequences </w:t>
      </w:r>
      <w:r w:rsidR="00B34C79">
        <w:rPr>
          <w:rStyle w:val="None"/>
          <w:rFonts w:cs="Times New Roman"/>
          <w:bCs/>
          <w:color w:val="auto"/>
          <w:u w:color="0000A0"/>
        </w:rPr>
        <w:t xml:space="preserve">of resulting in survey fatigue; </w:t>
      </w:r>
      <w:r>
        <w:rPr>
          <w:rStyle w:val="None"/>
          <w:rFonts w:cs="Times New Roman"/>
          <w:bCs/>
          <w:color w:val="auto"/>
          <w:u w:color="0000A0"/>
        </w:rPr>
        <w:t xml:space="preserve">survey timing that is not conducive to the academic calendar of the </w:t>
      </w:r>
      <w:r w:rsidR="00B34C79">
        <w:rPr>
          <w:rStyle w:val="None"/>
          <w:rFonts w:cs="Times New Roman"/>
          <w:bCs/>
          <w:color w:val="auto"/>
          <w:u w:color="0000A0"/>
        </w:rPr>
        <w:t>audience intended;</w:t>
      </w:r>
      <w:r>
        <w:rPr>
          <w:rStyle w:val="None"/>
          <w:rFonts w:cs="Times New Roman"/>
          <w:bCs/>
          <w:color w:val="auto"/>
          <w:u w:color="0000A0"/>
        </w:rPr>
        <w:t xml:space="preserve"> </w:t>
      </w:r>
      <w:r w:rsidR="00E95C94">
        <w:rPr>
          <w:rStyle w:val="None"/>
          <w:rFonts w:cs="Times New Roman"/>
          <w:bCs/>
          <w:color w:val="auto"/>
          <w:u w:color="0000A0"/>
        </w:rPr>
        <w:t>the collection of duplicate information from multiple surveys</w:t>
      </w:r>
      <w:r w:rsidR="00B34C79">
        <w:rPr>
          <w:rStyle w:val="None"/>
          <w:rFonts w:cs="Times New Roman"/>
          <w:bCs/>
          <w:color w:val="auto"/>
          <w:u w:color="0000A0"/>
        </w:rPr>
        <w:t>;</w:t>
      </w:r>
      <w:r>
        <w:rPr>
          <w:rStyle w:val="None"/>
          <w:rFonts w:cs="Times New Roman"/>
          <w:bCs/>
          <w:color w:val="auto"/>
          <w:u w:color="0000A0"/>
        </w:rPr>
        <w:t xml:space="preserve"> and</w:t>
      </w:r>
      <w:r w:rsidR="00B34C79">
        <w:rPr>
          <w:rStyle w:val="None"/>
          <w:rFonts w:cs="Times New Roman"/>
          <w:bCs/>
          <w:color w:val="auto"/>
          <w:u w:color="0000A0"/>
        </w:rPr>
        <w:t>,</w:t>
      </w:r>
      <w:r>
        <w:rPr>
          <w:rStyle w:val="None"/>
          <w:rFonts w:cs="Times New Roman"/>
          <w:bCs/>
          <w:color w:val="auto"/>
          <w:u w:color="0000A0"/>
        </w:rPr>
        <w:t xml:space="preserve"> concerns of participants with regard to use, confidentiality and intent of the survey effort.  </w:t>
      </w:r>
    </w:p>
    <w:p w14:paraId="053A1E2B" w14:textId="49328128" w:rsidR="00F66DE9" w:rsidRPr="00E43897" w:rsidRDefault="00DF3434">
      <w:pPr>
        <w:pStyle w:val="Body"/>
        <w:spacing w:after="0" w:line="240" w:lineRule="auto"/>
        <w:outlineLvl w:val="2"/>
        <w:rPr>
          <w:rFonts w:cs="Times New Roman"/>
        </w:rPr>
      </w:pPr>
      <w:r w:rsidRPr="00E43897">
        <w:rPr>
          <w:rFonts w:cs="Times New Roman"/>
        </w:rPr>
        <w:t xml:space="preserve"> </w:t>
      </w:r>
    </w:p>
    <w:p w14:paraId="44E23292" w14:textId="6ADAA7DC" w:rsidR="00573EF1" w:rsidRPr="00E43897" w:rsidRDefault="00DF3434" w:rsidP="00943A47">
      <w:pPr>
        <w:pStyle w:val="Heading1"/>
        <w:rPr>
          <w:rStyle w:val="None"/>
        </w:rPr>
      </w:pPr>
      <w:r w:rsidRPr="00E43897">
        <w:rPr>
          <w:rStyle w:val="None"/>
        </w:rPr>
        <w:t xml:space="preserve">DEFINITIONS </w:t>
      </w:r>
    </w:p>
    <w:p w14:paraId="7EBDB67F" w14:textId="77777777" w:rsidR="00573EF1" w:rsidRPr="00E43897" w:rsidRDefault="00573EF1">
      <w:pPr>
        <w:pStyle w:val="Body"/>
        <w:spacing w:after="0" w:line="240" w:lineRule="auto"/>
        <w:outlineLvl w:val="2"/>
        <w:rPr>
          <w:rStyle w:val="None"/>
          <w:rFonts w:cs="Times New Roman"/>
          <w:sz w:val="24"/>
          <w:szCs w:val="24"/>
        </w:rPr>
      </w:pPr>
    </w:p>
    <w:p w14:paraId="60A4DA1B" w14:textId="77777777" w:rsidR="00095E90" w:rsidRDefault="00E95C94">
      <w:pPr>
        <w:pStyle w:val="Body"/>
        <w:spacing w:after="0" w:line="240" w:lineRule="auto"/>
        <w:outlineLvl w:val="2"/>
        <w:rPr>
          <w:rStyle w:val="None"/>
          <w:rFonts w:cs="Times New Roman"/>
        </w:rPr>
      </w:pPr>
      <w:r w:rsidRPr="00E95C94">
        <w:rPr>
          <w:rStyle w:val="None"/>
          <w:rFonts w:cs="Times New Roman"/>
          <w:u w:val="single"/>
        </w:rPr>
        <w:t>University Survey Coordinating Committee</w:t>
      </w:r>
      <w:r>
        <w:rPr>
          <w:rStyle w:val="None"/>
          <w:rFonts w:cs="Times New Roman"/>
        </w:rPr>
        <w:t xml:space="preserve"> </w:t>
      </w:r>
    </w:p>
    <w:p w14:paraId="6446A39A" w14:textId="77777777" w:rsidR="00095E90" w:rsidRDefault="00095E90">
      <w:pPr>
        <w:pStyle w:val="Body"/>
        <w:spacing w:after="0" w:line="240" w:lineRule="auto"/>
        <w:outlineLvl w:val="2"/>
        <w:rPr>
          <w:rStyle w:val="None"/>
          <w:rFonts w:cs="Times New Roman"/>
          <w:bCs/>
          <w:color w:val="auto"/>
          <w:u w:color="0000A0"/>
        </w:rPr>
      </w:pPr>
    </w:p>
    <w:p w14:paraId="01E477D3" w14:textId="144AFCB6" w:rsidR="008D5E93" w:rsidRDefault="00E95C94" w:rsidP="00095E90">
      <w:pPr>
        <w:pStyle w:val="Body"/>
        <w:spacing w:after="0" w:line="240" w:lineRule="auto"/>
        <w:ind w:left="720"/>
        <w:outlineLvl w:val="2"/>
        <w:rPr>
          <w:rStyle w:val="None"/>
          <w:rFonts w:cs="Times New Roman"/>
          <w:bCs/>
          <w:color w:val="auto"/>
          <w:u w:color="0000A0"/>
        </w:rPr>
      </w:pPr>
      <w:r>
        <w:rPr>
          <w:rStyle w:val="None"/>
          <w:rFonts w:cs="Times New Roman"/>
          <w:bCs/>
          <w:color w:val="auto"/>
          <w:u w:color="0000A0"/>
        </w:rPr>
        <w:t xml:space="preserve">The Executive Vice President and Provost has established a University Survey Coordinating Committee (USSC) to </w:t>
      </w:r>
      <w:r w:rsidR="00095E90">
        <w:rPr>
          <w:rStyle w:val="None"/>
          <w:rFonts w:cs="Times New Roman"/>
          <w:bCs/>
          <w:color w:val="auto"/>
          <w:u w:color="0000A0"/>
        </w:rPr>
        <w:t>coordinate and approve large-scale survey efforts at all Penn State locations</w:t>
      </w:r>
      <w:r>
        <w:rPr>
          <w:rStyle w:val="None"/>
          <w:rFonts w:cs="Times New Roman"/>
          <w:bCs/>
          <w:color w:val="auto"/>
          <w:u w:color="0000A0"/>
        </w:rPr>
        <w:t>.  The Committee is intended to review</w:t>
      </w:r>
      <w:r w:rsidR="00095E90">
        <w:rPr>
          <w:rStyle w:val="None"/>
          <w:rFonts w:cs="Times New Roman"/>
          <w:bCs/>
          <w:color w:val="auto"/>
          <w:u w:color="0000A0"/>
        </w:rPr>
        <w:t xml:space="preserve"> and approve</w:t>
      </w:r>
      <w:r>
        <w:rPr>
          <w:rStyle w:val="None"/>
          <w:rFonts w:cs="Times New Roman"/>
          <w:bCs/>
          <w:color w:val="auto"/>
          <w:u w:color="0000A0"/>
        </w:rPr>
        <w:t xml:space="preserve"> </w:t>
      </w:r>
      <w:r w:rsidR="00B72A9F">
        <w:rPr>
          <w:rStyle w:val="None"/>
          <w:rFonts w:cs="Times New Roman"/>
          <w:bCs/>
          <w:color w:val="auto"/>
          <w:u w:color="0000A0"/>
        </w:rPr>
        <w:t xml:space="preserve">large-scale </w:t>
      </w:r>
      <w:r>
        <w:rPr>
          <w:rStyle w:val="None"/>
          <w:rFonts w:cs="Times New Roman"/>
          <w:bCs/>
          <w:color w:val="auto"/>
          <w:u w:color="0000A0"/>
        </w:rPr>
        <w:t xml:space="preserve">survey efforts, taking into account survey intended timing and the respondent burden, and to then provide guidance, as appropriate, to ensure the survey utility and use of the data can be appropriately used, under any defined confidentiality criteria, within the University community. </w:t>
      </w:r>
      <w:r w:rsidR="00A6707B">
        <w:rPr>
          <w:rStyle w:val="None"/>
          <w:rFonts w:cs="Times New Roman"/>
          <w:bCs/>
          <w:color w:val="auto"/>
          <w:u w:color="0000A0"/>
        </w:rPr>
        <w:t>Large-scale s</w:t>
      </w:r>
      <w:r w:rsidR="00095E90">
        <w:rPr>
          <w:rStyle w:val="None"/>
          <w:rFonts w:cs="Times New Roman"/>
          <w:bCs/>
          <w:color w:val="auto"/>
          <w:u w:color="0000A0"/>
        </w:rPr>
        <w:t>urveys that do not receive approval from the Committee cannot be implemented; however the Committee will provide feedback describing the reasons for denial and the survey proposal can be revised and resubmitted.</w:t>
      </w:r>
      <w:r>
        <w:rPr>
          <w:rStyle w:val="None"/>
          <w:rFonts w:cs="Times New Roman"/>
          <w:bCs/>
          <w:color w:val="auto"/>
          <w:u w:color="0000A0"/>
        </w:rPr>
        <w:t xml:space="preserve"> </w:t>
      </w:r>
      <w:r w:rsidR="000B50FE">
        <w:rPr>
          <w:rStyle w:val="None"/>
          <w:rFonts w:cs="Times New Roman"/>
          <w:bCs/>
          <w:color w:val="auto"/>
          <w:u w:color="0000A0"/>
        </w:rPr>
        <w:t>The Provost will appoint the committee co-chairs. To minimize the likelihood that both co-chairs would have a conflict of interest on any given survey, one co-chair will be</w:t>
      </w:r>
      <w:r w:rsidR="004F4972">
        <w:rPr>
          <w:rStyle w:val="None"/>
          <w:rFonts w:cs="Times New Roman"/>
          <w:bCs/>
          <w:color w:val="auto"/>
          <w:u w:color="0000A0"/>
        </w:rPr>
        <w:t xml:space="preserve"> the A</w:t>
      </w:r>
      <w:r w:rsidR="008D5E93">
        <w:rPr>
          <w:rStyle w:val="None"/>
          <w:rFonts w:cs="Times New Roman"/>
          <w:bCs/>
          <w:color w:val="auto"/>
          <w:u w:color="0000A0"/>
        </w:rPr>
        <w:t>ssociate</w:t>
      </w:r>
      <w:r w:rsidR="004F4972">
        <w:rPr>
          <w:rStyle w:val="None"/>
          <w:rFonts w:cs="Times New Roman"/>
          <w:bCs/>
          <w:color w:val="auto"/>
          <w:u w:color="0000A0"/>
        </w:rPr>
        <w:t xml:space="preserve"> </w:t>
      </w:r>
      <w:proofErr w:type="gramStart"/>
      <w:r w:rsidR="004F4972">
        <w:rPr>
          <w:rStyle w:val="None"/>
          <w:rFonts w:cs="Times New Roman"/>
          <w:bCs/>
          <w:color w:val="auto"/>
          <w:u w:color="0000A0"/>
        </w:rPr>
        <w:t>Vice</w:t>
      </w:r>
      <w:proofErr w:type="gramEnd"/>
      <w:r w:rsidR="004F4972">
        <w:rPr>
          <w:rStyle w:val="None"/>
          <w:rFonts w:cs="Times New Roman"/>
          <w:bCs/>
          <w:color w:val="auto"/>
          <w:u w:color="0000A0"/>
        </w:rPr>
        <w:t xml:space="preserve"> Provost for Institutional Research</w:t>
      </w:r>
      <w:r w:rsidR="000B50FE">
        <w:rPr>
          <w:rStyle w:val="None"/>
          <w:rFonts w:cs="Times New Roman"/>
          <w:bCs/>
          <w:color w:val="auto"/>
          <w:u w:color="0000A0"/>
        </w:rPr>
        <w:t xml:space="preserve"> and the other </w:t>
      </w:r>
      <w:r w:rsidR="008D5E93">
        <w:rPr>
          <w:rStyle w:val="None"/>
          <w:rFonts w:cs="Times New Roman"/>
          <w:bCs/>
          <w:color w:val="auto"/>
          <w:u w:color="0000A0"/>
        </w:rPr>
        <w:t xml:space="preserve">co-chair </w:t>
      </w:r>
      <w:r w:rsidR="000B50FE">
        <w:rPr>
          <w:rStyle w:val="None"/>
          <w:rFonts w:cs="Times New Roman"/>
          <w:bCs/>
          <w:color w:val="auto"/>
          <w:u w:color="0000A0"/>
        </w:rPr>
        <w:t xml:space="preserve">will be </w:t>
      </w:r>
      <w:r w:rsidR="008D5E93">
        <w:rPr>
          <w:rStyle w:val="None"/>
          <w:rFonts w:cs="Times New Roman"/>
          <w:bCs/>
          <w:color w:val="auto"/>
          <w:u w:color="0000A0"/>
        </w:rPr>
        <w:t>someone</w:t>
      </w:r>
      <w:r w:rsidR="004F4972">
        <w:rPr>
          <w:rStyle w:val="None"/>
          <w:rFonts w:cs="Times New Roman"/>
          <w:bCs/>
          <w:color w:val="auto"/>
          <w:u w:color="0000A0"/>
        </w:rPr>
        <w:t xml:space="preserve"> </w:t>
      </w:r>
      <w:r w:rsidR="008D5E93">
        <w:rPr>
          <w:rStyle w:val="None"/>
          <w:rFonts w:cs="Times New Roman"/>
          <w:bCs/>
          <w:color w:val="auto"/>
          <w:u w:color="0000A0"/>
        </w:rPr>
        <w:t>from outside of OPA</w:t>
      </w:r>
      <w:r w:rsidR="004F4972">
        <w:rPr>
          <w:rStyle w:val="None"/>
          <w:rFonts w:cs="Times New Roman"/>
          <w:bCs/>
          <w:color w:val="auto"/>
          <w:u w:color="0000A0"/>
        </w:rPr>
        <w:t>.</w:t>
      </w:r>
      <w:r w:rsidR="008D5E93">
        <w:rPr>
          <w:rStyle w:val="None"/>
          <w:rFonts w:cs="Times New Roman"/>
          <w:bCs/>
          <w:color w:val="auto"/>
          <w:u w:color="0000A0"/>
        </w:rPr>
        <w:t xml:space="preserve"> </w:t>
      </w:r>
    </w:p>
    <w:p w14:paraId="7F0864F0" w14:textId="77777777" w:rsidR="008D5E93" w:rsidRDefault="008D5E93" w:rsidP="00095E90">
      <w:pPr>
        <w:pStyle w:val="Body"/>
        <w:spacing w:after="0" w:line="240" w:lineRule="auto"/>
        <w:ind w:left="720"/>
        <w:outlineLvl w:val="2"/>
        <w:rPr>
          <w:rStyle w:val="None"/>
          <w:rFonts w:cs="Times New Roman"/>
          <w:bCs/>
          <w:color w:val="auto"/>
          <w:u w:color="0000A0"/>
        </w:rPr>
      </w:pPr>
    </w:p>
    <w:p w14:paraId="4D078F9C" w14:textId="77777777" w:rsidR="00095E90" w:rsidRDefault="00E95C94">
      <w:pPr>
        <w:pStyle w:val="Body"/>
        <w:spacing w:after="0" w:line="240" w:lineRule="auto"/>
        <w:outlineLvl w:val="2"/>
        <w:rPr>
          <w:rStyle w:val="None"/>
          <w:rFonts w:cs="Times New Roman"/>
        </w:rPr>
      </w:pPr>
      <w:r w:rsidRPr="00E95C94">
        <w:rPr>
          <w:rStyle w:val="None"/>
          <w:rFonts w:cs="Times New Roman"/>
          <w:u w:val="single"/>
        </w:rPr>
        <w:t>Large-Scale Survey</w:t>
      </w:r>
      <w:r>
        <w:rPr>
          <w:rStyle w:val="None"/>
          <w:rFonts w:cs="Times New Roman"/>
        </w:rPr>
        <w:t xml:space="preserve">  </w:t>
      </w:r>
    </w:p>
    <w:p w14:paraId="1B280C94" w14:textId="77777777" w:rsidR="00095E90" w:rsidRDefault="00095E90">
      <w:pPr>
        <w:pStyle w:val="Body"/>
        <w:spacing w:after="0" w:line="240" w:lineRule="auto"/>
        <w:outlineLvl w:val="2"/>
        <w:rPr>
          <w:rStyle w:val="None"/>
          <w:rFonts w:cs="Times New Roman"/>
        </w:rPr>
      </w:pPr>
    </w:p>
    <w:p w14:paraId="2B8A23EE" w14:textId="29A3B504" w:rsidR="00F66DE9" w:rsidRDefault="00E95C94" w:rsidP="00095E90">
      <w:pPr>
        <w:pStyle w:val="Body"/>
        <w:spacing w:after="0" w:line="240" w:lineRule="auto"/>
        <w:ind w:left="720"/>
        <w:outlineLvl w:val="2"/>
        <w:rPr>
          <w:rStyle w:val="None"/>
          <w:rFonts w:cs="Times New Roman"/>
        </w:rPr>
      </w:pPr>
      <w:r>
        <w:rPr>
          <w:rStyle w:val="None"/>
          <w:rFonts w:cs="Times New Roman"/>
        </w:rPr>
        <w:t>If the answer to one or more of the following tenets is “yes,</w:t>
      </w:r>
      <w:r w:rsidR="00B34C79">
        <w:rPr>
          <w:rStyle w:val="None"/>
          <w:rFonts w:cs="Times New Roman"/>
        </w:rPr>
        <w:t>”</w:t>
      </w:r>
      <w:r>
        <w:rPr>
          <w:rStyle w:val="None"/>
          <w:rFonts w:cs="Times New Roman"/>
        </w:rPr>
        <w:t xml:space="preserve"> then </w:t>
      </w:r>
      <w:r w:rsidR="00B72A9F">
        <w:rPr>
          <w:rStyle w:val="None"/>
          <w:rFonts w:cs="Times New Roman"/>
        </w:rPr>
        <w:t xml:space="preserve">a </w:t>
      </w:r>
      <w:r>
        <w:rPr>
          <w:rStyle w:val="None"/>
          <w:rFonts w:cs="Times New Roman"/>
        </w:rPr>
        <w:t>survey is considered large-scale</w:t>
      </w:r>
      <w:r w:rsidR="00B72A9F">
        <w:rPr>
          <w:rStyle w:val="None"/>
          <w:rFonts w:cs="Times New Roman"/>
        </w:rPr>
        <w:t xml:space="preserve"> and falls under the purview of the USCC</w:t>
      </w:r>
      <w:r w:rsidR="002A3665">
        <w:rPr>
          <w:rStyle w:val="None"/>
          <w:rFonts w:cs="Times New Roman"/>
        </w:rPr>
        <w:t xml:space="preserve">:  </w:t>
      </w:r>
    </w:p>
    <w:p w14:paraId="747632C0" w14:textId="77777777" w:rsidR="002A3665" w:rsidRDefault="002A3665">
      <w:pPr>
        <w:pStyle w:val="Body"/>
        <w:spacing w:after="0" w:line="240" w:lineRule="auto"/>
        <w:outlineLvl w:val="2"/>
        <w:rPr>
          <w:rStyle w:val="None"/>
          <w:rFonts w:cs="Times New Roman"/>
        </w:rPr>
      </w:pPr>
    </w:p>
    <w:p w14:paraId="6A3ED09C" w14:textId="77777777" w:rsidR="00B72A9F" w:rsidRDefault="002A3665" w:rsidP="002A3665">
      <w:pPr>
        <w:pStyle w:val="Body"/>
        <w:spacing w:after="0" w:line="240" w:lineRule="auto"/>
        <w:ind w:left="720"/>
        <w:outlineLvl w:val="2"/>
        <w:rPr>
          <w:rStyle w:val="None"/>
          <w:rFonts w:cs="Times New Roman"/>
        </w:rPr>
      </w:pPr>
      <w:r>
        <w:rPr>
          <w:rStyle w:val="None"/>
          <w:rFonts w:cs="Times New Roman"/>
        </w:rPr>
        <w:t xml:space="preserve">Will the survey </w:t>
      </w:r>
      <w:r w:rsidR="00B34C79">
        <w:rPr>
          <w:rStyle w:val="None"/>
          <w:rFonts w:cs="Times New Roman"/>
        </w:rPr>
        <w:t xml:space="preserve">be sent </w:t>
      </w:r>
      <w:proofErr w:type="gramStart"/>
      <w:r>
        <w:rPr>
          <w:rStyle w:val="None"/>
          <w:rFonts w:cs="Times New Roman"/>
        </w:rPr>
        <w:t>to:</w:t>
      </w:r>
      <w:proofErr w:type="gramEnd"/>
      <w:r>
        <w:rPr>
          <w:rStyle w:val="None"/>
          <w:rFonts w:cs="Times New Roman"/>
        </w:rPr>
        <w:t xml:space="preserve">  </w:t>
      </w:r>
    </w:p>
    <w:p w14:paraId="583BD668" w14:textId="08642D67" w:rsidR="00B72A9F" w:rsidRDefault="002A3665" w:rsidP="0012367D">
      <w:pPr>
        <w:pStyle w:val="Body"/>
        <w:numPr>
          <w:ilvl w:val="0"/>
          <w:numId w:val="24"/>
        </w:numPr>
        <w:spacing w:after="0" w:line="240" w:lineRule="auto"/>
        <w:outlineLvl w:val="2"/>
        <w:rPr>
          <w:rStyle w:val="None"/>
          <w:rFonts w:cs="Times New Roman"/>
        </w:rPr>
      </w:pPr>
      <w:r>
        <w:rPr>
          <w:rStyle w:val="None"/>
          <w:rFonts w:cs="Times New Roman"/>
        </w:rPr>
        <w:t xml:space="preserve">all PSU faculty, all PSU staff, and/or all PSU students; </w:t>
      </w:r>
    </w:p>
    <w:p w14:paraId="4F69CAB4" w14:textId="346750AA" w:rsidR="00B72A9F" w:rsidRDefault="002A3665" w:rsidP="0012367D">
      <w:pPr>
        <w:pStyle w:val="Body"/>
        <w:numPr>
          <w:ilvl w:val="0"/>
          <w:numId w:val="24"/>
        </w:numPr>
        <w:spacing w:after="0" w:line="240" w:lineRule="auto"/>
        <w:outlineLvl w:val="2"/>
        <w:rPr>
          <w:rStyle w:val="None"/>
          <w:rFonts w:cs="Times New Roman"/>
        </w:rPr>
      </w:pPr>
      <w:r>
        <w:rPr>
          <w:rStyle w:val="None"/>
          <w:rFonts w:cs="Times New Roman"/>
        </w:rPr>
        <w:t xml:space="preserve">all faculty, staff and/or students in a single </w:t>
      </w:r>
      <w:r w:rsidR="006F6C0B">
        <w:rPr>
          <w:rStyle w:val="None"/>
          <w:rFonts w:cs="Times New Roman"/>
        </w:rPr>
        <w:t>college</w:t>
      </w:r>
      <w:r>
        <w:rPr>
          <w:rStyle w:val="None"/>
          <w:rFonts w:cs="Times New Roman"/>
        </w:rPr>
        <w:t xml:space="preserve">, </w:t>
      </w:r>
      <w:r w:rsidR="006F6C0B">
        <w:rPr>
          <w:rStyle w:val="None"/>
          <w:rFonts w:cs="Times New Roman"/>
        </w:rPr>
        <w:t xml:space="preserve">campus, or </w:t>
      </w:r>
      <w:r>
        <w:rPr>
          <w:rStyle w:val="None"/>
          <w:rFonts w:cs="Times New Roman"/>
        </w:rPr>
        <w:t>administrative unit</w:t>
      </w:r>
      <w:r w:rsidR="006F6C0B">
        <w:rPr>
          <w:rStyle w:val="FootnoteReference"/>
          <w:rFonts w:cs="Times New Roman"/>
        </w:rPr>
        <w:footnoteReference w:id="1"/>
      </w:r>
      <w:r>
        <w:rPr>
          <w:rStyle w:val="None"/>
          <w:rFonts w:cs="Times New Roman"/>
        </w:rPr>
        <w:t xml:space="preserve">; </w:t>
      </w:r>
    </w:p>
    <w:p w14:paraId="0C2DA8D1" w14:textId="40C3ECD2" w:rsidR="00B72A9F" w:rsidRDefault="002A3665" w:rsidP="0012367D">
      <w:pPr>
        <w:pStyle w:val="Body"/>
        <w:numPr>
          <w:ilvl w:val="0"/>
          <w:numId w:val="24"/>
        </w:numPr>
        <w:spacing w:after="0" w:line="240" w:lineRule="auto"/>
        <w:outlineLvl w:val="2"/>
        <w:rPr>
          <w:rStyle w:val="None"/>
          <w:rFonts w:cs="Times New Roman"/>
        </w:rPr>
      </w:pPr>
      <w:r>
        <w:rPr>
          <w:rStyle w:val="None"/>
          <w:rFonts w:cs="Times New Roman"/>
        </w:rPr>
        <w:t xml:space="preserve">5,000 or more Penn State community members; </w:t>
      </w:r>
    </w:p>
    <w:p w14:paraId="1F3A7FC8" w14:textId="37610669" w:rsidR="00B72A9F" w:rsidRDefault="002A3665" w:rsidP="0012367D">
      <w:pPr>
        <w:pStyle w:val="Body"/>
        <w:numPr>
          <w:ilvl w:val="0"/>
          <w:numId w:val="24"/>
        </w:numPr>
        <w:spacing w:after="0" w:line="240" w:lineRule="auto"/>
        <w:outlineLvl w:val="2"/>
        <w:rPr>
          <w:rStyle w:val="None"/>
          <w:rFonts w:cs="Times New Roman"/>
        </w:rPr>
      </w:pPr>
      <w:r>
        <w:rPr>
          <w:rStyle w:val="None"/>
          <w:rFonts w:cs="Times New Roman"/>
        </w:rPr>
        <w:t xml:space="preserve">10% or more University Park faculty, staff or students; </w:t>
      </w:r>
    </w:p>
    <w:p w14:paraId="48E72DB1" w14:textId="203FC6FC" w:rsidR="00B72A9F" w:rsidRDefault="002A3665" w:rsidP="0012367D">
      <w:pPr>
        <w:pStyle w:val="Body"/>
        <w:numPr>
          <w:ilvl w:val="0"/>
          <w:numId w:val="24"/>
        </w:numPr>
        <w:spacing w:after="0" w:line="240" w:lineRule="auto"/>
        <w:outlineLvl w:val="2"/>
        <w:rPr>
          <w:rStyle w:val="None"/>
          <w:rFonts w:cs="Times New Roman"/>
        </w:rPr>
      </w:pPr>
      <w:r>
        <w:rPr>
          <w:rStyle w:val="None"/>
          <w:rFonts w:cs="Times New Roman"/>
        </w:rPr>
        <w:t xml:space="preserve">25% or more of the faculty staff or students at a single campus with enrollments equal to or greater than 2,000; </w:t>
      </w:r>
    </w:p>
    <w:p w14:paraId="4B78817A" w14:textId="49C1670C" w:rsidR="00B72A9F" w:rsidRDefault="002A3665" w:rsidP="0012367D">
      <w:pPr>
        <w:pStyle w:val="Body"/>
        <w:numPr>
          <w:ilvl w:val="0"/>
          <w:numId w:val="24"/>
        </w:numPr>
        <w:spacing w:after="0" w:line="240" w:lineRule="auto"/>
        <w:outlineLvl w:val="2"/>
        <w:rPr>
          <w:rStyle w:val="None"/>
          <w:rFonts w:cs="Times New Roman"/>
        </w:rPr>
      </w:pPr>
      <w:r>
        <w:rPr>
          <w:rStyle w:val="None"/>
          <w:rFonts w:cs="Times New Roman"/>
        </w:rPr>
        <w:t xml:space="preserve">50% or more of the faculty, staff and/or students at a single campus with enrollments greater than 1,000 </w:t>
      </w:r>
      <w:bookmarkStart w:id="0" w:name="_GoBack"/>
      <w:bookmarkEnd w:id="0"/>
      <w:r>
        <w:rPr>
          <w:rStyle w:val="None"/>
          <w:rFonts w:cs="Times New Roman"/>
        </w:rPr>
        <w:t xml:space="preserve">but less than 2,000; </w:t>
      </w:r>
      <w:r w:rsidR="00B72A9F">
        <w:rPr>
          <w:rStyle w:val="None"/>
          <w:rFonts w:cs="Times New Roman"/>
        </w:rPr>
        <w:t xml:space="preserve">or </w:t>
      </w:r>
    </w:p>
    <w:p w14:paraId="7585D520" w14:textId="252977A2" w:rsidR="002A3665" w:rsidRDefault="002A3665" w:rsidP="0012367D">
      <w:pPr>
        <w:pStyle w:val="Body"/>
        <w:numPr>
          <w:ilvl w:val="0"/>
          <w:numId w:val="24"/>
        </w:numPr>
        <w:spacing w:after="0" w:line="240" w:lineRule="auto"/>
        <w:outlineLvl w:val="2"/>
        <w:rPr>
          <w:rStyle w:val="None"/>
          <w:rFonts w:cs="Times New Roman"/>
        </w:rPr>
      </w:pPr>
      <w:r>
        <w:rPr>
          <w:rStyle w:val="None"/>
          <w:rFonts w:cs="Times New Roman"/>
        </w:rPr>
        <w:lastRenderedPageBreak/>
        <w:t>75% or more of the faculty, staff and/or students at a single campus with enrollment of less than 1,000</w:t>
      </w:r>
      <w:r w:rsidR="00B72A9F">
        <w:rPr>
          <w:rStyle w:val="None"/>
          <w:rFonts w:cs="Times New Roman"/>
        </w:rPr>
        <w:t>?</w:t>
      </w:r>
      <w:r>
        <w:rPr>
          <w:rStyle w:val="None"/>
          <w:rFonts w:cs="Times New Roman"/>
        </w:rPr>
        <w:t xml:space="preserve">  </w:t>
      </w:r>
    </w:p>
    <w:p w14:paraId="067E4279" w14:textId="77777777" w:rsidR="002A3665" w:rsidRDefault="002A3665" w:rsidP="002A3665">
      <w:pPr>
        <w:pStyle w:val="Body"/>
        <w:spacing w:after="0" w:line="240" w:lineRule="auto"/>
        <w:ind w:left="720"/>
        <w:outlineLvl w:val="2"/>
        <w:rPr>
          <w:rStyle w:val="None"/>
          <w:rFonts w:cs="Times New Roman"/>
        </w:rPr>
      </w:pPr>
    </w:p>
    <w:p w14:paraId="34C8DE92" w14:textId="689B80C7" w:rsidR="002A3665" w:rsidRDefault="002A3665" w:rsidP="58111A61">
      <w:pPr>
        <w:pStyle w:val="Body"/>
        <w:spacing w:after="0" w:line="240" w:lineRule="auto"/>
        <w:ind w:left="720"/>
        <w:outlineLvl w:val="2"/>
        <w:rPr>
          <w:rStyle w:val="None"/>
          <w:rFonts w:cs="Times New Roman"/>
        </w:rPr>
      </w:pPr>
      <w:r>
        <w:rPr>
          <w:rStyle w:val="None"/>
          <w:rFonts w:cs="Times New Roman"/>
        </w:rPr>
        <w:t xml:space="preserve">Note that the following survey efforts are excluded from consideration of the definition of large-scale:  Student Ratings of Teaching Effectiveness; policy-required surveys (such as for performance or administrative reviews and information required for employment or matriculation); surveys required for </w:t>
      </w:r>
      <w:r w:rsidR="00BA51B8">
        <w:rPr>
          <w:rStyle w:val="None"/>
          <w:rFonts w:cs="Times New Roman"/>
        </w:rPr>
        <w:t xml:space="preserve">compliance (e.g., </w:t>
      </w:r>
      <w:r>
        <w:rPr>
          <w:rStyle w:val="None"/>
          <w:rFonts w:cs="Times New Roman"/>
        </w:rPr>
        <w:t>accreditation</w:t>
      </w:r>
      <w:r w:rsidR="00BA51B8">
        <w:rPr>
          <w:rStyle w:val="None"/>
          <w:rFonts w:cs="Times New Roman"/>
        </w:rPr>
        <w:t>,</w:t>
      </w:r>
      <w:r w:rsidR="008E01F7">
        <w:rPr>
          <w:rStyle w:val="None"/>
          <w:rFonts w:cs="Times New Roman"/>
        </w:rPr>
        <w:t xml:space="preserve"> </w:t>
      </w:r>
      <w:r>
        <w:rPr>
          <w:rStyle w:val="None"/>
          <w:rFonts w:cs="Times New Roman"/>
        </w:rPr>
        <w:t>required governmental surveys</w:t>
      </w:r>
      <w:r w:rsidR="00BA51B8">
        <w:rPr>
          <w:rStyle w:val="None"/>
          <w:rFonts w:cs="Times New Roman"/>
        </w:rPr>
        <w:t>)</w:t>
      </w:r>
      <w:r>
        <w:rPr>
          <w:rStyle w:val="None"/>
          <w:rFonts w:cs="Times New Roman"/>
        </w:rPr>
        <w:t xml:space="preserve">; surveys sent by voluntary associations to their own members; surveys sent to users of a service timed to solicit information about the performance of a facility or service (for example, students visiting a learning center or using campus recreational facilities; solicitation of information to members of a voluntary subscripted e-mail list; and, electronic communications between a faculty member and his/her students.  </w:t>
      </w:r>
    </w:p>
    <w:p w14:paraId="29318752" w14:textId="5B34C441" w:rsidR="00F66DE9" w:rsidRDefault="00F66DE9">
      <w:pPr>
        <w:pStyle w:val="Body"/>
        <w:spacing w:after="0" w:line="240" w:lineRule="auto"/>
        <w:rPr>
          <w:rStyle w:val="None"/>
          <w:rFonts w:cs="Times New Roman"/>
          <w:bCs/>
          <w:color w:val="auto"/>
          <w:u w:color="0000A0"/>
        </w:rPr>
      </w:pPr>
    </w:p>
    <w:p w14:paraId="72FA65CE" w14:textId="5ED4E54D" w:rsidR="0063712C" w:rsidRPr="000C2558" w:rsidRDefault="0063712C">
      <w:pPr>
        <w:pStyle w:val="Body"/>
        <w:spacing w:after="0" w:line="240" w:lineRule="auto"/>
        <w:rPr>
          <w:rStyle w:val="None"/>
          <w:rFonts w:cs="Times New Roman"/>
          <w:bCs/>
          <w:color w:val="auto"/>
          <w:u w:color="0000A0"/>
        </w:rPr>
      </w:pPr>
      <w:r>
        <w:rPr>
          <w:rStyle w:val="None"/>
          <w:rFonts w:cs="Times New Roman"/>
          <w:bCs/>
          <w:color w:val="auto"/>
          <w:u w:color="0000A0"/>
        </w:rPr>
        <w:t>Additional information and guidance on large-scale surveying</w:t>
      </w:r>
      <w:r w:rsidR="006F6C0B">
        <w:rPr>
          <w:rStyle w:val="None"/>
          <w:rFonts w:cs="Times New Roman"/>
          <w:bCs/>
          <w:color w:val="auto"/>
          <w:u w:color="0000A0"/>
        </w:rPr>
        <w:t xml:space="preserve"> </w:t>
      </w:r>
      <w:r w:rsidR="00D31FC6">
        <w:rPr>
          <w:rStyle w:val="None"/>
          <w:rFonts w:cs="Times New Roman"/>
          <w:bCs/>
          <w:color w:val="auto"/>
          <w:u w:color="0000A0"/>
        </w:rPr>
        <w:t>can be found on the</w:t>
      </w:r>
      <w:r>
        <w:rPr>
          <w:rStyle w:val="None"/>
          <w:rFonts w:cs="Times New Roman"/>
          <w:bCs/>
          <w:color w:val="auto"/>
          <w:u w:color="0000A0"/>
        </w:rPr>
        <w:t xml:space="preserve"> </w:t>
      </w:r>
      <w:hyperlink r:id="rId8" w:history="1">
        <w:r w:rsidR="00D31FC6" w:rsidRPr="004C7FEE">
          <w:rPr>
            <w:rStyle w:val="Hyperlink"/>
            <w:rFonts w:cs="Times New Roman"/>
            <w:color w:val="0070C0"/>
            <w:szCs w:val="24"/>
          </w:rPr>
          <w:t>USCC website</w:t>
        </w:r>
      </w:hyperlink>
      <w:r>
        <w:rPr>
          <w:rStyle w:val="None"/>
          <w:rFonts w:cs="Times New Roman"/>
          <w:bCs/>
          <w:color w:val="auto"/>
          <w:u w:color="0000A0"/>
        </w:rPr>
        <w:t xml:space="preserve">.  </w:t>
      </w:r>
    </w:p>
    <w:p w14:paraId="72C55E70" w14:textId="77777777" w:rsidR="00813926" w:rsidRPr="00E43897" w:rsidRDefault="00813926" w:rsidP="00ED6D05">
      <w:pPr>
        <w:pStyle w:val="Body"/>
        <w:spacing w:after="0" w:line="240" w:lineRule="auto"/>
        <w:jc w:val="right"/>
        <w:rPr>
          <w:rStyle w:val="None"/>
          <w:rFonts w:eastAsia="Times New Roman" w:cs="Times New Roman"/>
        </w:rPr>
      </w:pPr>
    </w:p>
    <w:p w14:paraId="3D626A60" w14:textId="77777777" w:rsidR="000B50FE" w:rsidRDefault="000B50FE" w:rsidP="00943A47">
      <w:pPr>
        <w:pStyle w:val="Heading1"/>
        <w:rPr>
          <w:rStyle w:val="None"/>
          <w:lang w:val="pt-PT"/>
        </w:rPr>
      </w:pPr>
      <w:r>
        <w:rPr>
          <w:rStyle w:val="None"/>
          <w:lang w:val="pt-PT"/>
        </w:rPr>
        <w:t>POLICY</w:t>
      </w:r>
    </w:p>
    <w:p w14:paraId="486F0E4A" w14:textId="6E05BBED" w:rsidR="000B50FE" w:rsidRPr="000B50FE" w:rsidRDefault="000B50FE" w:rsidP="000B50FE">
      <w:pPr>
        <w:rPr>
          <w:rStyle w:val="None"/>
          <w:rFonts w:ascii="Calibri" w:hAnsi="Calibri" w:cs="Calibri"/>
        </w:rPr>
      </w:pPr>
      <w:r w:rsidRPr="000B50FE">
        <w:rPr>
          <w:rStyle w:val="None"/>
          <w:rFonts w:ascii="Calibri" w:hAnsi="Calibri" w:cs="Calibri"/>
        </w:rPr>
        <w:t xml:space="preserve">Prior to implementation, any large-scale survey, as defined above with regard to intent and exceptions, must be reviewed and approved by the USSC.  </w:t>
      </w:r>
    </w:p>
    <w:p w14:paraId="3F4057DF" w14:textId="77777777" w:rsidR="000B50FE" w:rsidRPr="000B50FE" w:rsidRDefault="000B50FE" w:rsidP="000B50FE">
      <w:pPr>
        <w:rPr>
          <w:lang w:val="pt-PT"/>
        </w:rPr>
      </w:pPr>
    </w:p>
    <w:p w14:paraId="1E81E489" w14:textId="0397BCD8" w:rsidR="00573EF1" w:rsidRPr="00E43897" w:rsidRDefault="00FA35EC" w:rsidP="00943A47">
      <w:pPr>
        <w:pStyle w:val="Heading1"/>
        <w:rPr>
          <w:rStyle w:val="None"/>
        </w:rPr>
      </w:pPr>
      <w:r>
        <w:rPr>
          <w:rStyle w:val="None"/>
          <w:lang w:val="pt-PT"/>
        </w:rPr>
        <w:t>PROCESS,</w:t>
      </w:r>
      <w:r w:rsidR="009865FD">
        <w:rPr>
          <w:rStyle w:val="None"/>
          <w:lang w:val="pt-PT"/>
        </w:rPr>
        <w:t xml:space="preserve"> RESOURCES</w:t>
      </w:r>
      <w:r>
        <w:rPr>
          <w:rStyle w:val="None"/>
          <w:lang w:val="pt-PT"/>
        </w:rPr>
        <w:t xml:space="preserve">, AND </w:t>
      </w:r>
      <w:r w:rsidR="009865FD">
        <w:rPr>
          <w:rStyle w:val="None"/>
          <w:lang w:val="pt-PT"/>
        </w:rPr>
        <w:t>PROTOCOLS</w:t>
      </w:r>
    </w:p>
    <w:p w14:paraId="5A3215F2" w14:textId="77777777" w:rsidR="00573EF1" w:rsidRDefault="00573EF1">
      <w:pPr>
        <w:pStyle w:val="Body"/>
        <w:spacing w:after="0" w:line="240" w:lineRule="auto"/>
        <w:outlineLvl w:val="2"/>
        <w:rPr>
          <w:rStyle w:val="None"/>
          <w:rFonts w:cs="Times New Roman"/>
          <w:sz w:val="24"/>
          <w:szCs w:val="24"/>
        </w:rPr>
      </w:pPr>
    </w:p>
    <w:p w14:paraId="0E566FBF" w14:textId="2227B8B5" w:rsidR="00FA35EC" w:rsidRPr="00BA51B8" w:rsidRDefault="00FA35EC">
      <w:pPr>
        <w:pStyle w:val="Body"/>
        <w:spacing w:after="0" w:line="240" w:lineRule="auto"/>
        <w:outlineLvl w:val="2"/>
        <w:rPr>
          <w:rStyle w:val="None"/>
          <w:rFonts w:cs="Times New Roman"/>
          <w:szCs w:val="24"/>
        </w:rPr>
      </w:pPr>
      <w:r w:rsidRPr="00BA51B8">
        <w:rPr>
          <w:rStyle w:val="None"/>
          <w:rFonts w:cs="Times New Roman"/>
          <w:szCs w:val="24"/>
        </w:rPr>
        <w:t xml:space="preserve">The </w:t>
      </w:r>
      <w:hyperlink r:id="rId9" w:history="1">
        <w:r w:rsidR="00BA51B8" w:rsidRPr="0012367D">
          <w:rPr>
            <w:rStyle w:val="Hyperlink"/>
            <w:color w:val="0070C0"/>
          </w:rPr>
          <w:t xml:space="preserve">USCC </w:t>
        </w:r>
        <w:r w:rsidRPr="0012367D">
          <w:rPr>
            <w:rStyle w:val="Hyperlink"/>
            <w:color w:val="0070C0"/>
          </w:rPr>
          <w:t>website</w:t>
        </w:r>
      </w:hyperlink>
      <w:r w:rsidRPr="00BA51B8">
        <w:rPr>
          <w:rStyle w:val="None"/>
          <w:rFonts w:cs="Times New Roman"/>
          <w:szCs w:val="24"/>
        </w:rPr>
        <w:t xml:space="preserve"> contains guidelines, </w:t>
      </w:r>
      <w:r w:rsidR="00B34C79" w:rsidRPr="00BA51B8">
        <w:rPr>
          <w:rStyle w:val="None"/>
          <w:rFonts w:cs="Times New Roman"/>
          <w:szCs w:val="24"/>
        </w:rPr>
        <w:t>best practice information, additional resource and guidance materials, and information on</w:t>
      </w:r>
      <w:r w:rsidR="000B50FE">
        <w:rPr>
          <w:rStyle w:val="None"/>
          <w:rFonts w:cs="Times New Roman"/>
          <w:szCs w:val="24"/>
        </w:rPr>
        <w:t xml:space="preserve"> review submission procedures. </w:t>
      </w:r>
      <w:r w:rsidR="004C7FEE">
        <w:rPr>
          <w:rStyle w:val="None"/>
          <w:rFonts w:cs="Times New Roman"/>
          <w:szCs w:val="24"/>
        </w:rPr>
        <w:t>Procedural d</w:t>
      </w:r>
      <w:r w:rsidRPr="00BA51B8">
        <w:rPr>
          <w:rStyle w:val="None"/>
          <w:rFonts w:cs="Times New Roman"/>
          <w:szCs w:val="24"/>
        </w:rPr>
        <w:t>etails</w:t>
      </w:r>
      <w:r w:rsidR="004C7FEE">
        <w:rPr>
          <w:rStyle w:val="None"/>
          <w:rFonts w:cs="Times New Roman"/>
          <w:szCs w:val="24"/>
        </w:rPr>
        <w:t xml:space="preserve"> and an online application platform,</w:t>
      </w:r>
      <w:r w:rsidRPr="00BA51B8">
        <w:rPr>
          <w:rStyle w:val="None"/>
          <w:rFonts w:cs="Times New Roman"/>
          <w:szCs w:val="24"/>
        </w:rPr>
        <w:t xml:space="preserve"> can be found at the </w:t>
      </w:r>
      <w:hyperlink r:id="rId10" w:history="1">
        <w:r w:rsidR="00BA51B8" w:rsidRPr="004C7FEE">
          <w:rPr>
            <w:rStyle w:val="Hyperlink"/>
            <w:rFonts w:cs="Times New Roman"/>
            <w:color w:val="0070C0"/>
            <w:szCs w:val="24"/>
          </w:rPr>
          <w:t>USCC website</w:t>
        </w:r>
      </w:hyperlink>
      <w:r w:rsidRPr="00BA51B8">
        <w:rPr>
          <w:rStyle w:val="None"/>
          <w:rFonts w:cs="Times New Roman"/>
          <w:szCs w:val="24"/>
        </w:rPr>
        <w:t xml:space="preserve">.  </w:t>
      </w:r>
    </w:p>
    <w:p w14:paraId="2509BB5E" w14:textId="77777777" w:rsidR="00FA35EC" w:rsidRPr="00BA51B8" w:rsidRDefault="00FA35EC">
      <w:pPr>
        <w:pStyle w:val="Body"/>
        <w:spacing w:after="0" w:line="240" w:lineRule="auto"/>
        <w:outlineLvl w:val="2"/>
        <w:rPr>
          <w:rStyle w:val="None"/>
          <w:rFonts w:cs="Times New Roman"/>
          <w:szCs w:val="24"/>
        </w:rPr>
      </w:pPr>
    </w:p>
    <w:p w14:paraId="44470EBA" w14:textId="17D6497A" w:rsidR="009865FD" w:rsidRPr="00BA51B8" w:rsidRDefault="0012367D">
      <w:pPr>
        <w:pStyle w:val="Body"/>
        <w:spacing w:after="0" w:line="240" w:lineRule="auto"/>
        <w:outlineLvl w:val="2"/>
        <w:rPr>
          <w:rStyle w:val="None"/>
          <w:rFonts w:cs="Times New Roman"/>
          <w:szCs w:val="24"/>
        </w:rPr>
      </w:pPr>
      <w:r w:rsidRPr="00BA51B8">
        <w:rPr>
          <w:rStyle w:val="None"/>
        </w:rPr>
        <w:t>Surveys that do not fit the definition of large-scale, as defined above with regard to intent and exceptions,</w:t>
      </w:r>
      <w:r>
        <w:rPr>
          <w:rStyle w:val="None"/>
        </w:rPr>
        <w:t xml:space="preserve"> are not required to go through the USCC process. However, all University surveys should adhere to the best practices found on the USCC website. </w:t>
      </w:r>
    </w:p>
    <w:p w14:paraId="12CD96C1" w14:textId="77777777" w:rsidR="0012367D" w:rsidRDefault="0012367D">
      <w:pPr>
        <w:pStyle w:val="Body"/>
        <w:spacing w:after="0" w:line="240" w:lineRule="auto"/>
        <w:outlineLvl w:val="2"/>
        <w:rPr>
          <w:rStyle w:val="None"/>
          <w:rFonts w:cs="Times New Roman"/>
          <w:szCs w:val="24"/>
        </w:rPr>
      </w:pPr>
    </w:p>
    <w:p w14:paraId="5098C77D" w14:textId="705B0DE7" w:rsidR="00FA35EC" w:rsidRPr="006F6C0B" w:rsidRDefault="009865FD">
      <w:pPr>
        <w:pStyle w:val="Body"/>
        <w:spacing w:after="0" w:line="240" w:lineRule="auto"/>
        <w:outlineLvl w:val="2"/>
        <w:rPr>
          <w:rStyle w:val="None"/>
          <w:rFonts w:cs="Times New Roman"/>
          <w:szCs w:val="24"/>
        </w:rPr>
      </w:pPr>
      <w:r w:rsidRPr="00BA51B8">
        <w:rPr>
          <w:rStyle w:val="None"/>
          <w:rFonts w:cs="Times New Roman"/>
          <w:szCs w:val="24"/>
        </w:rPr>
        <w:t>All efforts</w:t>
      </w:r>
      <w:r w:rsidR="007E42AE" w:rsidRPr="00BA51B8">
        <w:rPr>
          <w:rStyle w:val="None"/>
          <w:rFonts w:cs="Times New Roman"/>
          <w:szCs w:val="24"/>
        </w:rPr>
        <w:t>, including those by third-party survey administrators,</w:t>
      </w:r>
      <w:r w:rsidRPr="00BA51B8">
        <w:rPr>
          <w:rStyle w:val="None"/>
          <w:rFonts w:cs="Times New Roman"/>
          <w:szCs w:val="24"/>
        </w:rPr>
        <w:t xml:space="preserve"> must be in compliance with any </w:t>
      </w:r>
      <w:r w:rsidR="007E42AE" w:rsidRPr="00BA51B8">
        <w:rPr>
          <w:rStyle w:val="None"/>
          <w:rFonts w:cs="Times New Roman"/>
          <w:szCs w:val="24"/>
        </w:rPr>
        <w:t xml:space="preserve">confidentiality and prescribed </w:t>
      </w:r>
      <w:r w:rsidRPr="00BA51B8">
        <w:rPr>
          <w:rStyle w:val="None"/>
          <w:rFonts w:cs="Times New Roman"/>
          <w:szCs w:val="24"/>
        </w:rPr>
        <w:t>Federal, state, contract, or regulatory parameters, including, but not limited to, FERPA, HIPPA</w:t>
      </w:r>
      <w:r w:rsidR="00BA51B8">
        <w:rPr>
          <w:rStyle w:val="None"/>
          <w:rFonts w:cs="Times New Roman"/>
          <w:szCs w:val="24"/>
        </w:rPr>
        <w:t xml:space="preserve">, </w:t>
      </w:r>
      <w:r w:rsidR="006F6C0B">
        <w:rPr>
          <w:rStyle w:val="None"/>
          <w:rFonts w:cs="Times New Roman"/>
          <w:szCs w:val="24"/>
        </w:rPr>
        <w:t xml:space="preserve">and </w:t>
      </w:r>
      <w:r w:rsidR="00BA51B8">
        <w:rPr>
          <w:rStyle w:val="None"/>
          <w:rFonts w:cs="Times New Roman"/>
          <w:szCs w:val="24"/>
        </w:rPr>
        <w:t>IRB</w:t>
      </w:r>
      <w:r w:rsidR="006F6C0B">
        <w:rPr>
          <w:rStyle w:val="None"/>
          <w:rFonts w:cs="Times New Roman"/>
          <w:szCs w:val="24"/>
        </w:rPr>
        <w:t>.</w:t>
      </w:r>
    </w:p>
    <w:p w14:paraId="4B443B79" w14:textId="77777777" w:rsidR="00F66DE9" w:rsidRPr="00E43897" w:rsidRDefault="00F66DE9">
      <w:pPr>
        <w:pStyle w:val="Body"/>
        <w:spacing w:after="0" w:line="240" w:lineRule="auto"/>
        <w:outlineLvl w:val="2"/>
        <w:rPr>
          <w:rFonts w:cs="Times New Roman"/>
          <w:b/>
          <w:bCs/>
        </w:rPr>
      </w:pPr>
      <w:bookmarkStart w:id="1" w:name="I"/>
    </w:p>
    <w:p w14:paraId="38AF35C0" w14:textId="25C54256" w:rsidR="00573EF1" w:rsidRDefault="00DF3434" w:rsidP="00943A47">
      <w:pPr>
        <w:pStyle w:val="Heading1"/>
        <w:rPr>
          <w:rStyle w:val="None"/>
          <w:i/>
          <w:color w:val="auto"/>
          <w:lang w:val="de-DE"/>
        </w:rPr>
      </w:pPr>
      <w:r w:rsidRPr="00E43897">
        <w:rPr>
          <w:rStyle w:val="None"/>
          <w:lang w:val="de-DE"/>
        </w:rPr>
        <w:t>FURTHER INFORMATION</w:t>
      </w:r>
      <w:r w:rsidRPr="00E43897">
        <w:rPr>
          <w:rStyle w:val="None"/>
          <w:i/>
          <w:color w:val="auto"/>
          <w:lang w:val="de-DE"/>
        </w:rPr>
        <w:t xml:space="preserve"> </w:t>
      </w:r>
      <w:r w:rsidR="00573EF1" w:rsidRPr="00E43897">
        <w:rPr>
          <w:rStyle w:val="None"/>
          <w:i/>
          <w:color w:val="auto"/>
          <w:lang w:val="de-DE"/>
        </w:rPr>
        <w:t xml:space="preserve"> </w:t>
      </w:r>
    </w:p>
    <w:p w14:paraId="7C6E06F8" w14:textId="77777777" w:rsidR="00943A47" w:rsidRPr="00943A47" w:rsidRDefault="00943A47" w:rsidP="00943A47">
      <w:pPr>
        <w:rPr>
          <w:lang w:val="de-DE"/>
        </w:rPr>
      </w:pPr>
    </w:p>
    <w:p w14:paraId="65BC92BE" w14:textId="38E27AB9" w:rsidR="00FA35EC" w:rsidRPr="00174C88" w:rsidRDefault="00FA35EC" w:rsidP="00FA35EC">
      <w:pPr>
        <w:pStyle w:val="Body"/>
        <w:spacing w:after="0" w:line="240" w:lineRule="auto"/>
        <w:outlineLvl w:val="2"/>
        <w:rPr>
          <w:rStyle w:val="None"/>
          <w:rFonts w:cs="Times New Roman"/>
          <w:bCs/>
          <w:color w:val="auto"/>
          <w:u w:color="0000A0"/>
          <w:lang w:val="de-DE"/>
        </w:rPr>
      </w:pPr>
      <w:r>
        <w:rPr>
          <w:rStyle w:val="None"/>
          <w:rFonts w:cs="Times New Roman"/>
          <w:bCs/>
          <w:color w:val="auto"/>
          <w:u w:color="0000A0"/>
          <w:lang w:val="de-DE"/>
        </w:rPr>
        <w:t xml:space="preserve">For questions or additional information, please contact the Office of Planning and Assesment at </w:t>
      </w:r>
      <w:r w:rsidR="00943A47">
        <w:rPr>
          <w:rStyle w:val="None"/>
          <w:rFonts w:cs="Times New Roman"/>
          <w:bCs/>
          <w:color w:val="auto"/>
          <w:u w:color="0000A0"/>
          <w:lang w:val="de-DE"/>
        </w:rPr>
        <w:t xml:space="preserve">opa.psu.edu. </w:t>
      </w:r>
    </w:p>
    <w:p w14:paraId="0AE9F021" w14:textId="77777777" w:rsidR="00F66DE9" w:rsidRPr="00E43897" w:rsidRDefault="00F66DE9">
      <w:pPr>
        <w:pStyle w:val="Body"/>
        <w:spacing w:after="0" w:line="240" w:lineRule="auto"/>
        <w:outlineLvl w:val="2"/>
        <w:rPr>
          <w:rStyle w:val="None"/>
          <w:rFonts w:eastAsia="Times New Roman" w:cs="Times New Roman"/>
          <w:b/>
          <w:bCs/>
          <w:color w:val="0000A0"/>
          <w:sz w:val="24"/>
          <w:szCs w:val="24"/>
          <w:u w:color="0000A0"/>
        </w:rPr>
      </w:pPr>
    </w:p>
    <w:p w14:paraId="0EC05AEC" w14:textId="6DBDDA86" w:rsidR="00573EF1" w:rsidRPr="00E43897" w:rsidRDefault="00DF3434" w:rsidP="00943A47">
      <w:pPr>
        <w:pStyle w:val="Heading1"/>
        <w:rPr>
          <w:rStyle w:val="None"/>
          <w:b w:val="0"/>
          <w:bCs w:val="0"/>
          <w:lang w:val="de-DE"/>
        </w:rPr>
      </w:pPr>
      <w:r w:rsidRPr="00E43897">
        <w:rPr>
          <w:rStyle w:val="None"/>
          <w:lang w:val="de-DE"/>
        </w:rPr>
        <w:t>CROSS REFERENCES</w:t>
      </w:r>
      <w:r w:rsidR="00CA3525" w:rsidRPr="00E43897">
        <w:rPr>
          <w:rStyle w:val="None"/>
          <w:lang w:val="de-DE"/>
        </w:rPr>
        <w:t xml:space="preserve"> </w:t>
      </w:r>
      <w:r w:rsidR="002E1DFE" w:rsidRPr="00E43897">
        <w:rPr>
          <w:rStyle w:val="None"/>
          <w:lang w:val="de-DE"/>
        </w:rPr>
        <w:t>TO</w:t>
      </w:r>
      <w:r w:rsidRPr="00E43897">
        <w:rPr>
          <w:rStyle w:val="None"/>
          <w:lang w:val="de-DE"/>
        </w:rPr>
        <w:t xml:space="preserve"> OTHER POLICIES</w:t>
      </w:r>
      <w:r w:rsidR="00CA3525" w:rsidRPr="00E43897">
        <w:rPr>
          <w:rStyle w:val="None"/>
          <w:lang w:val="de-DE"/>
        </w:rPr>
        <w:t xml:space="preserve"> </w:t>
      </w:r>
    </w:p>
    <w:p w14:paraId="5EAE9C14" w14:textId="77777777" w:rsidR="00573EF1" w:rsidRPr="00E43897" w:rsidRDefault="00573EF1">
      <w:pPr>
        <w:pStyle w:val="Body"/>
        <w:spacing w:after="0" w:line="240" w:lineRule="auto"/>
        <w:outlineLvl w:val="2"/>
        <w:rPr>
          <w:rStyle w:val="None"/>
          <w:rFonts w:cs="Times New Roman"/>
          <w:b/>
          <w:bCs/>
          <w:color w:val="0000A0"/>
          <w:sz w:val="24"/>
          <w:szCs w:val="24"/>
          <w:u w:color="0000A0"/>
          <w:lang w:val="de-DE"/>
        </w:rPr>
      </w:pPr>
    </w:p>
    <w:bookmarkEnd w:id="1"/>
    <w:p w14:paraId="6744791F" w14:textId="77777777" w:rsidR="00BA51B8" w:rsidRDefault="00BA51B8" w:rsidP="00C06396">
      <w:pPr>
        <w:pStyle w:val="Body"/>
        <w:spacing w:after="0" w:line="240" w:lineRule="auto"/>
        <w:outlineLvl w:val="2"/>
        <w:rPr>
          <w:rStyle w:val="None"/>
          <w:rFonts w:cs="Times New Roman"/>
          <w:szCs w:val="24"/>
        </w:rPr>
      </w:pPr>
      <w:r>
        <w:rPr>
          <w:rStyle w:val="None"/>
          <w:rFonts w:cs="Times New Roman"/>
          <w:szCs w:val="24"/>
        </w:rPr>
        <w:t>AD11 – University Policy on Confidentiality of Student Records</w:t>
      </w:r>
    </w:p>
    <w:p w14:paraId="6EE2E615" w14:textId="48E77A8B" w:rsidR="00F66DE9" w:rsidRPr="00BA51B8" w:rsidRDefault="007E42AE" w:rsidP="00C06396">
      <w:pPr>
        <w:pStyle w:val="Body"/>
        <w:spacing w:after="0" w:line="240" w:lineRule="auto"/>
        <w:outlineLvl w:val="2"/>
        <w:rPr>
          <w:rStyle w:val="None"/>
          <w:rFonts w:cs="Times New Roman"/>
          <w:szCs w:val="24"/>
        </w:rPr>
      </w:pPr>
      <w:r w:rsidRPr="00BA51B8">
        <w:rPr>
          <w:rStyle w:val="None"/>
          <w:rFonts w:cs="Times New Roman"/>
          <w:szCs w:val="24"/>
        </w:rPr>
        <w:t>AD22 – Health Insurance Portability and Accountability Act</w:t>
      </w:r>
    </w:p>
    <w:p w14:paraId="1DC38A9D" w14:textId="346DCFF4" w:rsidR="007E42AE" w:rsidRPr="00BA51B8" w:rsidRDefault="007E42AE" w:rsidP="00C06396">
      <w:pPr>
        <w:pStyle w:val="Body"/>
        <w:spacing w:after="0" w:line="240" w:lineRule="auto"/>
        <w:outlineLvl w:val="2"/>
        <w:rPr>
          <w:rStyle w:val="None"/>
          <w:rFonts w:cs="Times New Roman"/>
          <w:szCs w:val="24"/>
        </w:rPr>
      </w:pPr>
      <w:r w:rsidRPr="00BA51B8">
        <w:rPr>
          <w:rStyle w:val="None"/>
          <w:rFonts w:cs="Times New Roman"/>
          <w:szCs w:val="24"/>
        </w:rPr>
        <w:t>AD56 – Use of Group Communication Tools to Communicate University Business to Employees and Students</w:t>
      </w:r>
    </w:p>
    <w:p w14:paraId="5FD82D4D" w14:textId="5150A0CA" w:rsidR="004F4972" w:rsidRDefault="004F4972" w:rsidP="00C06396">
      <w:pPr>
        <w:pStyle w:val="Body"/>
        <w:spacing w:after="0" w:line="240" w:lineRule="auto"/>
        <w:outlineLvl w:val="2"/>
        <w:rPr>
          <w:rStyle w:val="None"/>
          <w:rFonts w:cs="Times New Roman"/>
          <w:szCs w:val="24"/>
        </w:rPr>
      </w:pPr>
      <w:r>
        <w:rPr>
          <w:rStyle w:val="None"/>
          <w:rFonts w:cs="Times New Roman"/>
          <w:szCs w:val="24"/>
        </w:rPr>
        <w:t>AD69 – Accessibility of Electronic and Information Technology</w:t>
      </w:r>
    </w:p>
    <w:p w14:paraId="06594C77" w14:textId="034EBA0B" w:rsidR="007E42AE" w:rsidRPr="00BA51B8" w:rsidRDefault="007E42AE" w:rsidP="00C06396">
      <w:pPr>
        <w:pStyle w:val="Body"/>
        <w:spacing w:after="0" w:line="240" w:lineRule="auto"/>
        <w:outlineLvl w:val="2"/>
        <w:rPr>
          <w:rStyle w:val="None"/>
          <w:rFonts w:cs="Times New Roman"/>
          <w:szCs w:val="24"/>
        </w:rPr>
      </w:pPr>
      <w:r w:rsidRPr="00BA51B8">
        <w:rPr>
          <w:rStyle w:val="None"/>
          <w:rFonts w:cs="Times New Roman"/>
          <w:szCs w:val="24"/>
        </w:rPr>
        <w:t>ADG06 – Appropriate Use of Student Data</w:t>
      </w:r>
    </w:p>
    <w:p w14:paraId="626981B4" w14:textId="12C0C0FA" w:rsidR="007E42AE" w:rsidRPr="00BA51B8" w:rsidRDefault="007E42AE" w:rsidP="00C06396">
      <w:pPr>
        <w:pStyle w:val="Body"/>
        <w:spacing w:after="0" w:line="240" w:lineRule="auto"/>
        <w:outlineLvl w:val="2"/>
        <w:rPr>
          <w:rStyle w:val="None"/>
          <w:rFonts w:cs="Times New Roman"/>
          <w:szCs w:val="24"/>
        </w:rPr>
      </w:pPr>
      <w:r w:rsidRPr="00BA51B8">
        <w:rPr>
          <w:rStyle w:val="None"/>
          <w:rFonts w:cs="Times New Roman"/>
          <w:szCs w:val="24"/>
        </w:rPr>
        <w:lastRenderedPageBreak/>
        <w:t>BS02 – University Mailing Lists</w:t>
      </w:r>
    </w:p>
    <w:p w14:paraId="76D3BFB1" w14:textId="4435E39B" w:rsidR="007E42AE" w:rsidRPr="00BA51B8" w:rsidRDefault="007E42AE" w:rsidP="00C06396">
      <w:pPr>
        <w:pStyle w:val="Body"/>
        <w:spacing w:after="0" w:line="240" w:lineRule="auto"/>
        <w:outlineLvl w:val="2"/>
        <w:rPr>
          <w:rStyle w:val="None"/>
          <w:rFonts w:cs="Times New Roman"/>
          <w:szCs w:val="24"/>
        </w:rPr>
      </w:pPr>
      <w:r w:rsidRPr="00BA51B8">
        <w:rPr>
          <w:rStyle w:val="None"/>
          <w:rFonts w:cs="Times New Roman"/>
          <w:szCs w:val="24"/>
        </w:rPr>
        <w:t>RP03 – Use of Human Participants in Research</w:t>
      </w:r>
    </w:p>
    <w:p w14:paraId="0EE020BA" w14:textId="77777777" w:rsidR="007E42AE" w:rsidRPr="00E43897" w:rsidRDefault="007E42AE" w:rsidP="00C06396">
      <w:pPr>
        <w:pStyle w:val="Body"/>
        <w:spacing w:after="0" w:line="240" w:lineRule="auto"/>
        <w:outlineLvl w:val="2"/>
        <w:rPr>
          <w:rFonts w:cs="Times New Roman"/>
        </w:rPr>
      </w:pPr>
    </w:p>
    <w:sectPr w:rsidR="007E42AE" w:rsidRPr="00E43897">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5A419" w14:textId="77777777" w:rsidR="00A53DAE" w:rsidRDefault="00A53DAE">
      <w:r>
        <w:separator/>
      </w:r>
    </w:p>
  </w:endnote>
  <w:endnote w:type="continuationSeparator" w:id="0">
    <w:p w14:paraId="031AB740" w14:textId="77777777" w:rsidR="00A53DAE" w:rsidRDefault="00A5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103016"/>
      <w:docPartObj>
        <w:docPartGallery w:val="Page Numbers (Bottom of Page)"/>
        <w:docPartUnique/>
      </w:docPartObj>
    </w:sdtPr>
    <w:sdtEndPr>
      <w:rPr>
        <w:color w:val="7F7F7F" w:themeColor="background1" w:themeShade="7F"/>
        <w:spacing w:val="60"/>
      </w:rPr>
    </w:sdtEndPr>
    <w:sdtContent>
      <w:p w14:paraId="6696D72F" w14:textId="3A232662" w:rsidR="001D2D00" w:rsidRDefault="001D2D00">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1723">
          <w:rPr>
            <w:noProof/>
          </w:rPr>
          <w:t>4</w:t>
        </w:r>
        <w:r>
          <w:rPr>
            <w:noProof/>
          </w:rPr>
          <w:fldChar w:fldCharType="end"/>
        </w:r>
        <w:r>
          <w:t xml:space="preserve"> | </w:t>
        </w:r>
        <w:r>
          <w:rPr>
            <w:color w:val="7F7F7F" w:themeColor="background1" w:themeShade="7F"/>
            <w:spacing w:val="60"/>
          </w:rPr>
          <w:t>Page</w:t>
        </w:r>
      </w:p>
    </w:sdtContent>
  </w:sdt>
  <w:p w14:paraId="2F01E8C1" w14:textId="77777777" w:rsidR="00992F5A" w:rsidRDefault="00992F5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C7E39" w14:textId="77777777" w:rsidR="00A53DAE" w:rsidRDefault="00A53DAE">
      <w:r>
        <w:separator/>
      </w:r>
    </w:p>
  </w:footnote>
  <w:footnote w:type="continuationSeparator" w:id="0">
    <w:p w14:paraId="764EE806" w14:textId="77777777" w:rsidR="00A53DAE" w:rsidRDefault="00A53DAE">
      <w:r>
        <w:continuationSeparator/>
      </w:r>
    </w:p>
  </w:footnote>
  <w:footnote w:id="1">
    <w:p w14:paraId="60C436EF" w14:textId="5EB7341B" w:rsidR="006F6C0B" w:rsidRPr="004D1723" w:rsidRDefault="006F6C0B">
      <w:pPr>
        <w:pStyle w:val="FootnoteText"/>
        <w:rPr>
          <w:rFonts w:ascii="Calibri" w:hAnsi="Calibri"/>
        </w:rPr>
      </w:pPr>
      <w:r w:rsidRPr="004D1723">
        <w:rPr>
          <w:rStyle w:val="FootnoteReference"/>
          <w:rFonts w:ascii="Calibri" w:hAnsi="Calibri"/>
        </w:rPr>
        <w:footnoteRef/>
      </w:r>
      <w:r w:rsidRPr="004D1723">
        <w:rPr>
          <w:rFonts w:ascii="Calibri" w:hAnsi="Calibri"/>
        </w:rPr>
        <w:t xml:space="preserve"> Administrative units include: Commonwealth Campuses, Development and Alumni Relations, Educational Equity, Enterprise IT, Finance and Business, Global Programs, the Graduate School, Intercollegiate Athletics, Outreach and Online Education, Research, Strategic Communications, Student Affairs, Undergraduate Education, and University Libraries.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B7DA" w14:textId="7A0572CE" w:rsidR="00992F5A" w:rsidRPr="00E43897" w:rsidRDefault="00992F5A">
    <w:pPr>
      <w:pStyle w:val="Body"/>
      <w:spacing w:after="0" w:line="240" w:lineRule="auto"/>
      <w:rPr>
        <w:rFonts w:eastAsia="Times New Roman" w:cs="Times New Roman"/>
        <w:b/>
        <w:bCs/>
        <w:color w:val="0000A0"/>
        <w:sz w:val="24"/>
        <w:szCs w:val="24"/>
        <w:u w:color="0000A0"/>
      </w:rPr>
    </w:pPr>
    <w:r w:rsidRPr="00E43897">
      <w:rPr>
        <w:b/>
        <w:bCs/>
        <w:color w:val="0000A0"/>
        <w:sz w:val="24"/>
        <w:szCs w:val="24"/>
        <w:u w:color="0000A0"/>
      </w:rPr>
      <w:t xml:space="preserve">Policy XX## </w:t>
    </w:r>
  </w:p>
  <w:p w14:paraId="38B6E0A4" w14:textId="541DF547" w:rsidR="00992F5A" w:rsidRDefault="00992F5A">
    <w:pPr>
      <w:pStyle w:val="Body"/>
      <w:spacing w:after="0" w:line="240" w:lineRule="auto"/>
      <w:outlineLvl w:val="2"/>
      <w:rPr>
        <w:b/>
        <w:bCs/>
        <w:color w:val="0000A0"/>
        <w:sz w:val="24"/>
        <w:szCs w:val="24"/>
        <w:u w:color="0000A0"/>
      </w:rPr>
    </w:pPr>
    <w:r w:rsidRPr="00E43897">
      <w:rPr>
        <w:b/>
        <w:bCs/>
        <w:color w:val="0000A0"/>
        <w:sz w:val="24"/>
        <w:szCs w:val="24"/>
        <w:u w:color="0000A0"/>
      </w:rPr>
      <w:t>Policy Steward:</w:t>
    </w:r>
    <w:r w:rsidR="00E43897">
      <w:rPr>
        <w:b/>
        <w:bCs/>
        <w:color w:val="0000A0"/>
        <w:sz w:val="24"/>
        <w:szCs w:val="24"/>
        <w:u w:color="0000A0"/>
      </w:rPr>
      <w:t xml:space="preserve"> Vice </w:t>
    </w:r>
    <w:r w:rsidR="00B34C79">
      <w:rPr>
        <w:b/>
        <w:bCs/>
        <w:color w:val="0000A0"/>
        <w:sz w:val="24"/>
        <w:szCs w:val="24"/>
        <w:u w:color="0000A0"/>
      </w:rPr>
      <w:t>President for Administration</w:t>
    </w:r>
  </w:p>
  <w:p w14:paraId="441AD303" w14:textId="5024CD2B" w:rsidR="00B34C79" w:rsidRPr="00E43897" w:rsidRDefault="001466DD">
    <w:pPr>
      <w:pStyle w:val="Body"/>
      <w:spacing w:after="0" w:line="240" w:lineRule="auto"/>
      <w:outlineLvl w:val="2"/>
      <w:rPr>
        <w:rFonts w:eastAsia="Times New Roman" w:cs="Times New Roman"/>
        <w:b/>
        <w:bCs/>
        <w:color w:val="0000A0"/>
        <w:sz w:val="24"/>
        <w:szCs w:val="24"/>
        <w:u w:color="0000A0"/>
      </w:rPr>
    </w:pPr>
    <w:r>
      <w:rPr>
        <w:b/>
        <w:bCs/>
        <w:color w:val="0000A0"/>
        <w:sz w:val="24"/>
        <w:szCs w:val="24"/>
        <w:u w:color="0000A0"/>
      </w:rPr>
      <w:t xml:space="preserve">Subject Matter Expert: </w:t>
    </w:r>
    <w:r w:rsidR="00B34C79">
      <w:rPr>
        <w:b/>
        <w:bCs/>
        <w:color w:val="0000A0"/>
        <w:sz w:val="24"/>
        <w:szCs w:val="24"/>
        <w:u w:color="0000A0"/>
      </w:rPr>
      <w:t>Vice Provost for Planning and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471"/>
    <w:multiLevelType w:val="hybridMultilevel"/>
    <w:tmpl w:val="5FEA1E54"/>
    <w:lvl w:ilvl="0" w:tplc="6A2C9E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2566A7"/>
    <w:multiLevelType w:val="hybridMultilevel"/>
    <w:tmpl w:val="C5446EE8"/>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2" w15:restartNumberingAfterBreak="0">
    <w:nsid w:val="109B2ADC"/>
    <w:multiLevelType w:val="hybridMultilevel"/>
    <w:tmpl w:val="0C50A7FC"/>
    <w:styleLink w:val="ImportedStyle6"/>
    <w:lvl w:ilvl="0" w:tplc="082E3D3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644F5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9896F8">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C20E8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B617C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9EF31A">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2A3C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6C120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055F4">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D43450F"/>
    <w:multiLevelType w:val="hybridMultilevel"/>
    <w:tmpl w:val="07E2B72A"/>
    <w:styleLink w:val="ImportedStyle4"/>
    <w:lvl w:ilvl="0" w:tplc="411A009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6DA2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0B14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C68DC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1A6E4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F02682">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2C2BF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3673C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6895B8">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1EF0949"/>
    <w:multiLevelType w:val="hybridMultilevel"/>
    <w:tmpl w:val="07E2B72A"/>
    <w:numStyleLink w:val="ImportedStyle4"/>
  </w:abstractNum>
  <w:abstractNum w:abstractNumId="5" w15:restartNumberingAfterBreak="0">
    <w:nsid w:val="23827AE4"/>
    <w:multiLevelType w:val="hybridMultilevel"/>
    <w:tmpl w:val="B2C245CE"/>
    <w:numStyleLink w:val="ImportedStyle5"/>
  </w:abstractNum>
  <w:abstractNum w:abstractNumId="6" w15:restartNumberingAfterBreak="0">
    <w:nsid w:val="25335684"/>
    <w:multiLevelType w:val="hybridMultilevel"/>
    <w:tmpl w:val="B2C245CE"/>
    <w:styleLink w:val="ImportedStyle5"/>
    <w:lvl w:ilvl="0" w:tplc="802A5BE2">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1497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A44F6">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B400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22A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FE1210">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22B62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4F1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90535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5823206"/>
    <w:multiLevelType w:val="hybridMultilevel"/>
    <w:tmpl w:val="8D3A71CC"/>
    <w:lvl w:ilvl="0" w:tplc="04090005">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97FB7"/>
    <w:multiLevelType w:val="hybridMultilevel"/>
    <w:tmpl w:val="B5CE22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16451D"/>
    <w:multiLevelType w:val="hybridMultilevel"/>
    <w:tmpl w:val="35AA46F2"/>
    <w:styleLink w:val="ImportedStyle3"/>
    <w:lvl w:ilvl="0" w:tplc="2BC0D23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E0475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904356">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0E51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0C583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70A172">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DE457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6A259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A868C">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60314D0"/>
    <w:multiLevelType w:val="hybridMultilevel"/>
    <w:tmpl w:val="5EF8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F470C"/>
    <w:multiLevelType w:val="hybridMultilevel"/>
    <w:tmpl w:val="AFC8F6E8"/>
    <w:numStyleLink w:val="ImportedStyle2"/>
  </w:abstractNum>
  <w:abstractNum w:abstractNumId="12" w15:restartNumberingAfterBreak="0">
    <w:nsid w:val="525852B8"/>
    <w:multiLevelType w:val="hybridMultilevel"/>
    <w:tmpl w:val="17603A3E"/>
    <w:lvl w:ilvl="0" w:tplc="B686E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649F6"/>
    <w:multiLevelType w:val="hybridMultilevel"/>
    <w:tmpl w:val="5FB28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B318B"/>
    <w:multiLevelType w:val="hybridMultilevel"/>
    <w:tmpl w:val="A6988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504A"/>
    <w:multiLevelType w:val="hybridMultilevel"/>
    <w:tmpl w:val="44E43DBE"/>
    <w:numStyleLink w:val="ImportedStyle1"/>
  </w:abstractNum>
  <w:abstractNum w:abstractNumId="16" w15:restartNumberingAfterBreak="0">
    <w:nsid w:val="5A566685"/>
    <w:multiLevelType w:val="hybridMultilevel"/>
    <w:tmpl w:val="AFC8F6E8"/>
    <w:styleLink w:val="ImportedStyle2"/>
    <w:lvl w:ilvl="0" w:tplc="BC3AA0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18C1E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C5C1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CCB37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8A3BC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6E338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00BE8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DAB5C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24745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F1201BA"/>
    <w:multiLevelType w:val="hybridMultilevel"/>
    <w:tmpl w:val="4574BF8C"/>
    <w:lvl w:ilvl="0" w:tplc="1132E752">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88B3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B82966">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20FD9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6546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FED10C">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887B9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EB82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46B96E">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1152D64"/>
    <w:multiLevelType w:val="hybridMultilevel"/>
    <w:tmpl w:val="0C50A7FC"/>
    <w:numStyleLink w:val="ImportedStyle6"/>
  </w:abstractNum>
  <w:abstractNum w:abstractNumId="19" w15:restartNumberingAfterBreak="0">
    <w:nsid w:val="61C506A6"/>
    <w:multiLevelType w:val="hybridMultilevel"/>
    <w:tmpl w:val="6196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E7026"/>
    <w:multiLevelType w:val="hybridMultilevel"/>
    <w:tmpl w:val="44E43DBE"/>
    <w:styleLink w:val="ImportedStyle1"/>
    <w:lvl w:ilvl="0" w:tplc="FA08C1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8A6D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7484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2598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1EB7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C019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0C7A9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CC8B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4D5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9144A30"/>
    <w:multiLevelType w:val="hybridMultilevel"/>
    <w:tmpl w:val="35AA46F2"/>
    <w:numStyleLink w:val="ImportedStyle3"/>
  </w:abstractNum>
  <w:abstractNum w:abstractNumId="22" w15:restartNumberingAfterBreak="0">
    <w:nsid w:val="7D3F3399"/>
    <w:multiLevelType w:val="hybridMultilevel"/>
    <w:tmpl w:val="7930A188"/>
    <w:lvl w:ilvl="0" w:tplc="0409000F">
      <w:start w:val="1"/>
      <w:numFmt w:val="decimal"/>
      <w:lvlText w:val="%1."/>
      <w:lvlJc w:val="left"/>
      <w:pPr>
        <w:ind w:left="1982" w:hanging="360"/>
      </w:pPr>
      <w:rPr>
        <w:rFont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20"/>
  </w:num>
  <w:num w:numId="2">
    <w:abstractNumId w:val="15"/>
  </w:num>
  <w:num w:numId="3">
    <w:abstractNumId w:val="16"/>
  </w:num>
  <w:num w:numId="4">
    <w:abstractNumId w:val="11"/>
  </w:num>
  <w:num w:numId="5">
    <w:abstractNumId w:val="9"/>
  </w:num>
  <w:num w:numId="6">
    <w:abstractNumId w:val="21"/>
  </w:num>
  <w:num w:numId="7">
    <w:abstractNumId w:val="3"/>
  </w:num>
  <w:num w:numId="8">
    <w:abstractNumId w:val="4"/>
  </w:num>
  <w:num w:numId="9">
    <w:abstractNumId w:val="6"/>
  </w:num>
  <w:num w:numId="10">
    <w:abstractNumId w:val="5"/>
  </w:num>
  <w:num w:numId="11">
    <w:abstractNumId w:val="5"/>
    <w:lvlOverride w:ilvl="0">
      <w:lvl w:ilvl="0" w:tplc="0C5A3B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7A0CD9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8A7846">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28FE6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E4F33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2944116">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66A1F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D0864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166A84">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num>
  <w:num w:numId="13">
    <w:abstractNumId w:val="18"/>
  </w:num>
  <w:num w:numId="14">
    <w:abstractNumId w:val="18"/>
    <w:lvlOverride w:ilvl="0">
      <w:startOverride w:val="2"/>
    </w:lvlOverride>
  </w:num>
  <w:num w:numId="15">
    <w:abstractNumId w:val="17"/>
  </w:num>
  <w:num w:numId="16">
    <w:abstractNumId w:val="10"/>
  </w:num>
  <w:num w:numId="17">
    <w:abstractNumId w:val="14"/>
  </w:num>
  <w:num w:numId="18">
    <w:abstractNumId w:val="12"/>
  </w:num>
  <w:num w:numId="19">
    <w:abstractNumId w:val="7"/>
  </w:num>
  <w:num w:numId="20">
    <w:abstractNumId w:val="13"/>
  </w:num>
  <w:num w:numId="21">
    <w:abstractNumId w:val="19"/>
  </w:num>
  <w:num w:numId="22">
    <w:abstractNumId w:val="1"/>
  </w:num>
  <w:num w:numId="23">
    <w:abstractNumId w:val="22"/>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E9"/>
    <w:rsid w:val="000151AF"/>
    <w:rsid w:val="00016A1D"/>
    <w:rsid w:val="000265EE"/>
    <w:rsid w:val="00033580"/>
    <w:rsid w:val="00095E90"/>
    <w:rsid w:val="00095FBF"/>
    <w:rsid w:val="000A0026"/>
    <w:rsid w:val="000A01F3"/>
    <w:rsid w:val="000B50FE"/>
    <w:rsid w:val="000C2558"/>
    <w:rsid w:val="000D0B44"/>
    <w:rsid w:val="00110BD8"/>
    <w:rsid w:val="0012367D"/>
    <w:rsid w:val="001466DD"/>
    <w:rsid w:val="001535EA"/>
    <w:rsid w:val="00174C88"/>
    <w:rsid w:val="00191257"/>
    <w:rsid w:val="001A565B"/>
    <w:rsid w:val="001D1081"/>
    <w:rsid w:val="001D2D00"/>
    <w:rsid w:val="001E2978"/>
    <w:rsid w:val="001E52AD"/>
    <w:rsid w:val="00291322"/>
    <w:rsid w:val="002A3665"/>
    <w:rsid w:val="002C27FD"/>
    <w:rsid w:val="002E1DFE"/>
    <w:rsid w:val="002F7650"/>
    <w:rsid w:val="00306541"/>
    <w:rsid w:val="00323BB8"/>
    <w:rsid w:val="00323E88"/>
    <w:rsid w:val="00366C8A"/>
    <w:rsid w:val="00371CB9"/>
    <w:rsid w:val="003A73A2"/>
    <w:rsid w:val="003F2738"/>
    <w:rsid w:val="003F6B6D"/>
    <w:rsid w:val="00447734"/>
    <w:rsid w:val="00457BA0"/>
    <w:rsid w:val="004A02B0"/>
    <w:rsid w:val="004B7B1F"/>
    <w:rsid w:val="004C315A"/>
    <w:rsid w:val="004C7FEE"/>
    <w:rsid w:val="004D1723"/>
    <w:rsid w:val="004F279D"/>
    <w:rsid w:val="004F4972"/>
    <w:rsid w:val="00534C1C"/>
    <w:rsid w:val="00566DE5"/>
    <w:rsid w:val="00573EF1"/>
    <w:rsid w:val="005749D8"/>
    <w:rsid w:val="005A1333"/>
    <w:rsid w:val="005B56FE"/>
    <w:rsid w:val="005C48CC"/>
    <w:rsid w:val="005D09EF"/>
    <w:rsid w:val="0063712C"/>
    <w:rsid w:val="00650D19"/>
    <w:rsid w:val="00685C0B"/>
    <w:rsid w:val="006960BF"/>
    <w:rsid w:val="006B4E79"/>
    <w:rsid w:val="006F6C0B"/>
    <w:rsid w:val="007011BD"/>
    <w:rsid w:val="00703791"/>
    <w:rsid w:val="007179A7"/>
    <w:rsid w:val="00735A46"/>
    <w:rsid w:val="00765BE1"/>
    <w:rsid w:val="007973CF"/>
    <w:rsid w:val="007E42AE"/>
    <w:rsid w:val="00811B05"/>
    <w:rsid w:val="00813926"/>
    <w:rsid w:val="00821F85"/>
    <w:rsid w:val="008550B0"/>
    <w:rsid w:val="008B15F2"/>
    <w:rsid w:val="008D5E93"/>
    <w:rsid w:val="008E01F7"/>
    <w:rsid w:val="008E40C9"/>
    <w:rsid w:val="008F0ED6"/>
    <w:rsid w:val="008F6360"/>
    <w:rsid w:val="009115A6"/>
    <w:rsid w:val="00943A47"/>
    <w:rsid w:val="00963060"/>
    <w:rsid w:val="00983FAE"/>
    <w:rsid w:val="009865FD"/>
    <w:rsid w:val="00992F5A"/>
    <w:rsid w:val="009A41A5"/>
    <w:rsid w:val="00A27686"/>
    <w:rsid w:val="00A37A2C"/>
    <w:rsid w:val="00A46093"/>
    <w:rsid w:val="00A53DAE"/>
    <w:rsid w:val="00A6707B"/>
    <w:rsid w:val="00AA0C2B"/>
    <w:rsid w:val="00AA6B27"/>
    <w:rsid w:val="00AB07BB"/>
    <w:rsid w:val="00AC4112"/>
    <w:rsid w:val="00AE3D0A"/>
    <w:rsid w:val="00AF15EF"/>
    <w:rsid w:val="00AF2A53"/>
    <w:rsid w:val="00AF5F0C"/>
    <w:rsid w:val="00B34C79"/>
    <w:rsid w:val="00B51919"/>
    <w:rsid w:val="00B53397"/>
    <w:rsid w:val="00B629D8"/>
    <w:rsid w:val="00B72A9F"/>
    <w:rsid w:val="00BA51B8"/>
    <w:rsid w:val="00BD1527"/>
    <w:rsid w:val="00C06396"/>
    <w:rsid w:val="00C9550E"/>
    <w:rsid w:val="00CA3525"/>
    <w:rsid w:val="00D21D2B"/>
    <w:rsid w:val="00D26E15"/>
    <w:rsid w:val="00D31FC6"/>
    <w:rsid w:val="00D5347A"/>
    <w:rsid w:val="00DA0428"/>
    <w:rsid w:val="00DD0D5C"/>
    <w:rsid w:val="00DF3434"/>
    <w:rsid w:val="00E43897"/>
    <w:rsid w:val="00E63FE1"/>
    <w:rsid w:val="00E95C94"/>
    <w:rsid w:val="00EA7C81"/>
    <w:rsid w:val="00EB2077"/>
    <w:rsid w:val="00EC026F"/>
    <w:rsid w:val="00ED6D05"/>
    <w:rsid w:val="00EE252F"/>
    <w:rsid w:val="00EF7729"/>
    <w:rsid w:val="00F66DE9"/>
    <w:rsid w:val="00F671E0"/>
    <w:rsid w:val="00FA35EC"/>
    <w:rsid w:val="00FE0F30"/>
    <w:rsid w:val="00FF5F76"/>
    <w:rsid w:val="58111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FD869"/>
  <w15:docId w15:val="{64CDE435-BF62-4B38-8BBE-A73FDB81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Body"/>
    <w:next w:val="Normal"/>
    <w:link w:val="Heading1Char"/>
    <w:uiPriority w:val="9"/>
    <w:qFormat/>
    <w:rsid w:val="00943A47"/>
    <w:pPr>
      <w:spacing w:after="0" w:line="240" w:lineRule="auto"/>
      <w:outlineLvl w:val="0"/>
    </w:pPr>
    <w:rPr>
      <w:rFonts w:cs="Times New Roman"/>
      <w:b/>
      <w:bCs/>
      <w:color w:val="0000A0"/>
      <w:sz w:val="24"/>
      <w:szCs w:val="24"/>
      <w:u w:color="000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None">
    <w:name w:val="None"/>
  </w:style>
  <w:style w:type="character" w:customStyle="1" w:styleId="Hyperlink0">
    <w:name w:val="Hyperlink.0"/>
    <w:basedOn w:val="None"/>
    <w:rPr>
      <w:u w:color="000099"/>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Default">
    <w:name w:val="Default"/>
    <w:rPr>
      <w:rFonts w:ascii="Helvetica" w:eastAsia="Helvetica" w:hAnsi="Helvetica" w:cs="Helvetica"/>
      <w:color w:val="000000"/>
      <w:sz w:val="22"/>
      <w:szCs w:val="22"/>
    </w:r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F34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43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F3434"/>
    <w:rPr>
      <w:b/>
      <w:bCs/>
      <w:sz w:val="20"/>
      <w:szCs w:val="20"/>
    </w:rPr>
  </w:style>
  <w:style w:type="character" w:customStyle="1" w:styleId="CommentSubjectChar">
    <w:name w:val="Comment Subject Char"/>
    <w:basedOn w:val="CommentTextChar"/>
    <w:link w:val="CommentSubject"/>
    <w:uiPriority w:val="99"/>
    <w:semiHidden/>
    <w:rsid w:val="00DF3434"/>
    <w:rPr>
      <w:b/>
      <w:bCs/>
      <w:sz w:val="24"/>
      <w:szCs w:val="24"/>
    </w:rPr>
  </w:style>
  <w:style w:type="paragraph" w:styleId="Header">
    <w:name w:val="header"/>
    <w:basedOn w:val="Normal"/>
    <w:link w:val="HeaderChar"/>
    <w:uiPriority w:val="99"/>
    <w:unhideWhenUsed/>
    <w:rsid w:val="001D2D00"/>
    <w:pPr>
      <w:tabs>
        <w:tab w:val="center" w:pos="4680"/>
        <w:tab w:val="right" w:pos="9360"/>
      </w:tabs>
    </w:pPr>
  </w:style>
  <w:style w:type="character" w:customStyle="1" w:styleId="HeaderChar">
    <w:name w:val="Header Char"/>
    <w:basedOn w:val="DefaultParagraphFont"/>
    <w:link w:val="Header"/>
    <w:uiPriority w:val="99"/>
    <w:rsid w:val="001D2D00"/>
    <w:rPr>
      <w:sz w:val="24"/>
      <w:szCs w:val="24"/>
    </w:rPr>
  </w:style>
  <w:style w:type="paragraph" w:styleId="Footer">
    <w:name w:val="footer"/>
    <w:basedOn w:val="Normal"/>
    <w:link w:val="FooterChar"/>
    <w:uiPriority w:val="99"/>
    <w:unhideWhenUsed/>
    <w:rsid w:val="001D2D00"/>
    <w:pPr>
      <w:tabs>
        <w:tab w:val="center" w:pos="4680"/>
        <w:tab w:val="right" w:pos="9360"/>
      </w:tabs>
    </w:pPr>
  </w:style>
  <w:style w:type="character" w:customStyle="1" w:styleId="FooterChar">
    <w:name w:val="Footer Char"/>
    <w:basedOn w:val="DefaultParagraphFont"/>
    <w:link w:val="Footer"/>
    <w:uiPriority w:val="99"/>
    <w:rsid w:val="001D2D00"/>
    <w:rPr>
      <w:sz w:val="24"/>
      <w:szCs w:val="24"/>
    </w:rPr>
  </w:style>
  <w:style w:type="paragraph" w:styleId="Title">
    <w:name w:val="Title"/>
    <w:basedOn w:val="Normal"/>
    <w:next w:val="Normal"/>
    <w:link w:val="TitleChar"/>
    <w:uiPriority w:val="10"/>
    <w:qFormat/>
    <w:rsid w:val="00E438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8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38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43897"/>
    <w:rPr>
      <w:rFonts w:asciiTheme="minorHAnsi" w:eastAsiaTheme="minorEastAsia" w:hAnsiTheme="minorHAnsi" w:cstheme="minorBidi"/>
      <w:color w:val="5A5A5A" w:themeColor="text1" w:themeTint="A5"/>
      <w:spacing w:val="15"/>
      <w:sz w:val="22"/>
      <w:szCs w:val="22"/>
    </w:rPr>
  </w:style>
  <w:style w:type="paragraph" w:styleId="FootnoteText">
    <w:name w:val="footnote text"/>
    <w:basedOn w:val="Normal"/>
    <w:link w:val="FootnoteTextChar"/>
    <w:uiPriority w:val="99"/>
    <w:semiHidden/>
    <w:unhideWhenUsed/>
    <w:rsid w:val="006F6C0B"/>
    <w:rPr>
      <w:sz w:val="20"/>
      <w:szCs w:val="20"/>
    </w:rPr>
  </w:style>
  <w:style w:type="character" w:customStyle="1" w:styleId="FootnoteTextChar">
    <w:name w:val="Footnote Text Char"/>
    <w:basedOn w:val="DefaultParagraphFont"/>
    <w:link w:val="FootnoteText"/>
    <w:uiPriority w:val="99"/>
    <w:semiHidden/>
    <w:rsid w:val="006F6C0B"/>
  </w:style>
  <w:style w:type="character" w:styleId="FootnoteReference">
    <w:name w:val="footnote reference"/>
    <w:basedOn w:val="DefaultParagraphFont"/>
    <w:uiPriority w:val="99"/>
    <w:semiHidden/>
    <w:unhideWhenUsed/>
    <w:rsid w:val="006F6C0B"/>
    <w:rPr>
      <w:vertAlign w:val="superscript"/>
    </w:rPr>
  </w:style>
  <w:style w:type="character" w:customStyle="1" w:styleId="Heading1Char">
    <w:name w:val="Heading 1 Char"/>
    <w:basedOn w:val="DefaultParagraphFont"/>
    <w:link w:val="Heading1"/>
    <w:uiPriority w:val="9"/>
    <w:rsid w:val="00943A47"/>
    <w:rPr>
      <w:rFonts w:ascii="Calibri" w:eastAsia="Calibri" w:hAnsi="Calibri"/>
      <w:b/>
      <w:bCs/>
      <w:color w:val="0000A0"/>
      <w:sz w:val="24"/>
      <w:szCs w:val="24"/>
      <w:u w:color="000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53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nstatesurvey.p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ennstatesurvey.psu.edu/" TargetMode="External"/><Relationship Id="rId4" Type="http://schemas.openxmlformats.org/officeDocument/2006/relationships/settings" Target="settings.xml"/><Relationship Id="rId9" Type="http://schemas.openxmlformats.org/officeDocument/2006/relationships/hyperlink" Target="http://pennstatesurvey.p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C60C6-28CC-409F-86B1-E78EA549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 Adair</dc:creator>
  <cp:lastModifiedBy>Betty Harper</cp:lastModifiedBy>
  <cp:revision>4</cp:revision>
  <cp:lastPrinted>2018-03-15T18:39:00Z</cp:lastPrinted>
  <dcterms:created xsi:type="dcterms:W3CDTF">2018-05-08T15:30:00Z</dcterms:created>
  <dcterms:modified xsi:type="dcterms:W3CDTF">2018-05-09T18:48:00Z</dcterms:modified>
</cp:coreProperties>
</file>